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A8E81">
      <w:pPr>
        <w:spacing w:line="360" w:lineRule="auto"/>
        <w:ind w:firstLine="3213" w:firstLineChars="1000"/>
        <w:jc w:val="both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2C1600BA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284AA94D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深圳市龙华区人民医院21 家社康中心预防接种门诊网关转换升级项目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LHYYFGK202505F028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18131FC1">
      <w:pPr>
        <w:pStyle w:val="4"/>
        <w:tabs>
          <w:tab w:val="left" w:pos="618"/>
        </w:tabs>
        <w:spacing w:line="360" w:lineRule="auto"/>
        <w:ind w:firstLine="210" w:firstLineChars="100"/>
        <w:rPr>
          <w:rFonts w:hint="eastAsia" w:ascii="宋体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</w:t>
      </w:r>
      <w:r>
        <w:rPr>
          <w:rFonts w:hint="eastAsia" w:hAnsi="宋体"/>
          <w:color w:val="auto"/>
          <w:u w:val="none"/>
          <w:lang w:val="en-US" w:eastAsia="zh-CN"/>
        </w:rPr>
        <w:t>内容</w:t>
      </w:r>
      <w:r>
        <w:rPr>
          <w:rFonts w:hint="eastAsia" w:hAnsi="宋体"/>
          <w:color w:val="auto"/>
          <w:u w:val="none"/>
        </w:rPr>
        <w:t>：</w:t>
      </w:r>
    </w:p>
    <w:p w14:paraId="69D26AC7"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kern w:val="0"/>
          <w:sz w:val="21"/>
          <w:szCs w:val="21"/>
        </w:rPr>
        <w:t>项目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内容</w:t>
      </w:r>
    </w:p>
    <w:p w14:paraId="409A4DFA">
      <w:pPr>
        <w:pStyle w:val="7"/>
        <w:numPr>
          <w:ilvl w:val="0"/>
          <w:numId w:val="0"/>
        </w:numPr>
        <w:spacing w:line="360" w:lineRule="exact"/>
        <w:ind w:left="0" w:firstLine="0"/>
        <w:jc w:val="left"/>
        <w:outlineLvl w:val="0"/>
        <w:rPr>
          <w:rFonts w:hint="default" w:ascii="宋体" w:hAnsi="宋体" w:cs="宋体"/>
          <w:b w:val="0"/>
          <w:bCs/>
          <w:kern w:val="0"/>
          <w:sz w:val="21"/>
          <w:szCs w:val="21"/>
          <w:lang w:val="en-US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4G网关设备需支持物联网WSN技术，支持中国电信、移动、联通的4G网络，内置定位器，支持SIM卡，支持同步上传数据到多个服务器，支持无缝接入深圳市疫苗冷链温湿度监控平台。</w:t>
      </w:r>
    </w:p>
    <w:p w14:paraId="3FAD6FFD">
      <w:pPr>
        <w:pStyle w:val="7"/>
        <w:numPr>
          <w:ilvl w:val="0"/>
          <w:numId w:val="0"/>
        </w:numPr>
        <w:spacing w:line="360" w:lineRule="exact"/>
        <w:ind w:left="0" w:firstLine="0"/>
        <w:jc w:val="left"/>
        <w:outlineLvl w:val="0"/>
        <w:rPr>
          <w:rFonts w:ascii="宋体" w:hAnsi="宋体" w:cs="宋体"/>
          <w:b/>
          <w:bCs/>
          <w:kern w:val="0"/>
          <w:sz w:val="21"/>
          <w:szCs w:val="21"/>
        </w:rPr>
      </w:pPr>
    </w:p>
    <w:p w14:paraId="1EDEC666">
      <w:pPr>
        <w:numPr>
          <w:ilvl w:val="0"/>
          <w:numId w:val="1"/>
        </w:numPr>
        <w:bidi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商务需求</w:t>
      </w:r>
    </w:p>
    <w:p w14:paraId="60D00805">
      <w:pPr>
        <w:numPr>
          <w:ilvl w:val="0"/>
          <w:numId w:val="2"/>
        </w:numPr>
        <w:spacing w:line="360" w:lineRule="auto"/>
        <w:ind w:left="363" w:hanging="363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工期要求：签订合同后，</w:t>
      </w:r>
      <w:r>
        <w:rPr>
          <w:rFonts w:ascii="宋体" w:hAnsi="宋体"/>
          <w:sz w:val="21"/>
          <w:szCs w:val="21"/>
          <w:lang w:val="en-US" w:eastAsia="zh-CN"/>
        </w:rPr>
        <w:t>2</w:t>
      </w:r>
      <w:r>
        <w:rPr>
          <w:rFonts w:ascii="宋体" w:hAnsi="宋体"/>
          <w:sz w:val="21"/>
          <w:szCs w:val="21"/>
        </w:rPr>
        <w:t>个月内完成项目服务并投入使用；试运行通过后，1个月内完成项目验收。</w:t>
      </w:r>
    </w:p>
    <w:p w14:paraId="1ED8406A">
      <w:pPr>
        <w:numPr>
          <w:ilvl w:val="0"/>
          <w:numId w:val="2"/>
        </w:numPr>
        <w:spacing w:line="360" w:lineRule="auto"/>
        <w:ind w:left="363" w:hanging="363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免费保修期内售后服务要求：施工过程全部验收合格后（以验收合格签字为标准），投标人向龙华区人民医院免费提供一年的上门保修服务，质保期为一年。质保期内，如因质量问题而引起的产品损坏，投标人应对产品予以维修或更换，全部服务费和更换产品或配件的费用由投标人承担，投标人如不能维修或不能更换，按产品原价赔偿处理。保修期满后，投标人必须继续支持维修，并按成本价标准收取维修及配件费用</w:t>
      </w:r>
      <w:r>
        <w:rPr>
          <w:rFonts w:ascii="宋体" w:hAnsi="宋体"/>
          <w:sz w:val="21"/>
          <w:szCs w:val="21"/>
          <w:lang w:eastAsia="zh-CN"/>
        </w:rPr>
        <w:t>（免费维保期满后，维保费以医院重新谈判价为准，预算费用总价不高于中标价的</w:t>
      </w:r>
      <w:r>
        <w:rPr>
          <w:rFonts w:ascii="宋体" w:hAnsi="宋体"/>
          <w:sz w:val="21"/>
          <w:szCs w:val="21"/>
          <w:lang w:val="en-US" w:eastAsia="zh-CN"/>
        </w:rPr>
        <w:t>10%</w:t>
      </w:r>
      <w:r>
        <w:rPr>
          <w:rFonts w:ascii="宋体" w:hAnsi="宋体"/>
          <w:sz w:val="21"/>
          <w:szCs w:val="21"/>
          <w:lang w:eastAsia="zh-CN"/>
        </w:rPr>
        <w:t>）</w:t>
      </w:r>
      <w:r>
        <w:rPr>
          <w:rFonts w:ascii="宋体" w:hAnsi="宋体"/>
          <w:sz w:val="21"/>
          <w:szCs w:val="21"/>
        </w:rPr>
        <w:t>。</w:t>
      </w:r>
    </w:p>
    <w:p w14:paraId="36C2939F">
      <w:pPr>
        <w:spacing w:line="360" w:lineRule="auto"/>
        <w:ind w:left="480" w:hanging="480"/>
        <w:jc w:val="both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3、院方有权授权第三方作为本项目的监理，该监理在监理范围享有与本合同中所约定的院方同等的权利，以监理本项目的实施、进度、验收等情况，中标方必须无条件配合监理方的监督和项目相关的监理工作。</w:t>
      </w:r>
    </w:p>
    <w:p w14:paraId="50AE132D">
      <w:pPr>
        <w:spacing w:line="360" w:lineRule="auto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4、预付款:签订合同后， 签署开工立后15 个工作日内，院方支付合同总价的 30 %；</w:t>
      </w:r>
    </w:p>
    <w:p w14:paraId="298D70DC">
      <w:pPr>
        <w:snapToGrid w:val="0"/>
        <w:spacing w:line="360" w:lineRule="auto"/>
        <w:ind w:firstLine="36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验收款:项目试运行通过后，经院方验收合格后 15 个工作日内，院方支付合同总价的 65 %；</w:t>
      </w:r>
    </w:p>
    <w:p w14:paraId="228F7195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ascii="宋体" w:hAnsi="宋体"/>
          <w:sz w:val="21"/>
          <w:szCs w:val="21"/>
        </w:rPr>
        <w:t>尾款:从验收合格之日起，免费维保期满1 年后，院方</w:t>
      </w:r>
      <w:r>
        <w:rPr>
          <w:rFonts w:ascii="宋体" w:hAnsi="宋体"/>
          <w:sz w:val="21"/>
          <w:szCs w:val="21"/>
          <w:lang w:eastAsia="zh-CN"/>
        </w:rPr>
        <w:t>一次性无息付清余款</w:t>
      </w:r>
      <w:r>
        <w:rPr>
          <w:rFonts w:ascii="宋体" w:hAnsi="宋体"/>
          <w:sz w:val="21"/>
          <w:szCs w:val="21"/>
        </w:rPr>
        <w:t xml:space="preserve"> 5 %。</w:t>
      </w: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       </w:t>
      </w:r>
    </w:p>
    <w:p w14:paraId="76E698A8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 w14:paraId="527EB73C">
      <w:pPr>
        <w:tabs>
          <w:tab w:val="left" w:pos="4223"/>
        </w:tabs>
        <w:spacing w:line="360" w:lineRule="auto"/>
        <w:ind w:firstLine="3780" w:firstLineChars="180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416232E8">
      <w:pPr>
        <w:tabs>
          <w:tab w:val="left" w:pos="4223"/>
        </w:tabs>
        <w:spacing w:line="360" w:lineRule="auto"/>
        <w:jc w:val="center"/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u w:val="none"/>
        </w:rPr>
        <w:t>日     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7C0C8"/>
    <w:multiLevelType w:val="multilevel"/>
    <w:tmpl w:val="8F97C0C8"/>
    <w:lvl w:ilvl="0" w:tentative="0">
      <w:start w:val="2"/>
      <w:numFmt w:val="chineseCountingThousand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87B84"/>
    <w:rsid w:val="050B0AD1"/>
    <w:rsid w:val="1BC87B84"/>
    <w:rsid w:val="293F0B3B"/>
    <w:rsid w:val="2E2F1CD1"/>
    <w:rsid w:val="3BAC7C11"/>
    <w:rsid w:val="63A7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7">
    <w:name w:val="List Paragraph"/>
    <w:basedOn w:val="1"/>
    <w:qFormat/>
    <w:uiPriority w:val="0"/>
    <w:pPr>
      <w:spacing w:line="480" w:lineRule="auto"/>
      <w:ind w:firstLine="420" w:firstLineChars="200"/>
    </w:pPr>
    <w:rPr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2025-05-27T04:36:00Z</dcterms:created>
  <dc:creator>WPS_1721117721</dc:creator>
  <cp:lastModifiedBy>WPS_1721117721</cp:lastModifiedBy>
  <dcterms:modified xsi:type="dcterms:W3CDTF">2025-05-27T04:37:36Z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491386EAD9F64DAAB921B52BA2219FA7_11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