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E345E">
      <w:pPr>
        <w:spacing w:line="360" w:lineRule="auto"/>
        <w:ind w:firstLine="2891" w:firstLineChars="900"/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36DA3152">
      <w:pPr>
        <w:pStyle w:val="2"/>
        <w:rPr>
          <w:rFonts w:hint="eastAsia"/>
          <w:lang w:val="en-US" w:eastAsia="zh-CN"/>
        </w:rPr>
      </w:pPr>
    </w:p>
    <w:p w14:paraId="4F0D8CB9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281BB0E9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深圳市龙华区人民医院龙华区国鸿社康站政务网络项目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LHYYGK202504F015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39059ED2"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7B7D405F">
      <w:pPr>
        <w:widowControl/>
        <w:ind w:firstLine="420" w:firstLineChars="200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从龙华区政数局机房新建设1条12芯政务光纤，对接社康。安装政务外网交换机1台，政务无线外网交换机1台，无线接入点6台。</w:t>
      </w:r>
    </w:p>
    <w:p w14:paraId="1CFA687B">
      <w:pPr>
        <w:widowControl/>
        <w:ind w:firstLine="420" w:firstLineChars="200"/>
        <w:jc w:val="lef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从龙华区卫健专网机房新建1条12芯卫生专网光缆线路，对接社康。安装卫生专网接入设备，规划卫生专网IP，打通社康访问卫生专网网络权限，为社康提供龙华区卫生专网接入服务。</w:t>
      </w:r>
    </w:p>
    <w:p w14:paraId="4C213B9B">
      <w:pPr>
        <w:widowControl/>
        <w:ind w:firstLine="420" w:firstLineChars="200"/>
        <w:jc w:val="both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龙华区国鸿社康站(干部职工健康之家)网络建设设备清单</w:t>
      </w:r>
    </w:p>
    <w:tbl>
      <w:tblPr>
        <w:tblStyle w:val="4"/>
        <w:tblW w:w="952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01"/>
        <w:gridCol w:w="4578"/>
        <w:gridCol w:w="845"/>
        <w:gridCol w:w="1457"/>
      </w:tblGrid>
      <w:tr w14:paraId="053F1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7D50">
            <w:pPr>
              <w:widowControl/>
              <w:jc w:val="both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A8920">
            <w:pPr>
              <w:widowControl/>
              <w:ind w:firstLine="211" w:firstLineChars="10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4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4C832">
            <w:pPr>
              <w:widowControl/>
              <w:ind w:firstLine="211" w:firstLineChars="10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参数要求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5598">
            <w:pPr>
              <w:widowControl/>
              <w:jc w:val="both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62E16">
            <w:pPr>
              <w:widowControl/>
              <w:ind w:firstLine="211" w:firstLineChars="10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</w:tr>
      <w:tr w14:paraId="5F07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14983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4D538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无线接入点</w:t>
            </w:r>
          </w:p>
        </w:tc>
        <w:tc>
          <w:tcPr>
            <w:tcW w:w="4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91CBB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支持Wi-Fi6协议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DFD6D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771BE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台</w:t>
            </w:r>
          </w:p>
        </w:tc>
      </w:tr>
      <w:tr w14:paraId="21DF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50CB9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FEBF9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PoE交换机</w:t>
            </w:r>
          </w:p>
        </w:tc>
        <w:tc>
          <w:tcPr>
            <w:tcW w:w="4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EB81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24口PoE交换机，万兆上行，支持三层管理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7F74B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04C0E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台</w:t>
            </w:r>
          </w:p>
        </w:tc>
      </w:tr>
      <w:tr w14:paraId="621C1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F95D3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889CB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接入交换机</w:t>
            </w:r>
          </w:p>
        </w:tc>
        <w:tc>
          <w:tcPr>
            <w:tcW w:w="4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426C4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48口交换机，千兆上行，支持三层管理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C5FE0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E8D7A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台</w:t>
            </w:r>
          </w:p>
        </w:tc>
      </w:tr>
    </w:tbl>
    <w:p w14:paraId="1BD25F4D">
      <w:pPr>
        <w:widowControl/>
        <w:ind w:firstLine="210" w:firstLineChars="100"/>
        <w:jc w:val="left"/>
        <w:rPr>
          <w:rFonts w:hint="eastAsia" w:ascii="宋体" w:hAnsi="宋体"/>
          <w:color w:val="000000"/>
          <w:sz w:val="21"/>
          <w:szCs w:val="21"/>
        </w:rPr>
      </w:pPr>
    </w:p>
    <w:p w14:paraId="133E1F11">
      <w:pPr>
        <w:widowControl/>
        <w:ind w:firstLine="420" w:firstLineChars="200"/>
        <w:jc w:val="lef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龙华区国鸿社康站(干部职工健康之家)网络光缆建设清单</w:t>
      </w:r>
    </w:p>
    <w:tbl>
      <w:tblPr>
        <w:tblStyle w:val="4"/>
        <w:tblW w:w="955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77"/>
        <w:gridCol w:w="2446"/>
        <w:gridCol w:w="807"/>
        <w:gridCol w:w="2755"/>
      </w:tblGrid>
      <w:tr w14:paraId="472C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77FA5">
            <w:pPr>
              <w:widowControl/>
              <w:ind w:firstLine="211" w:firstLineChars="100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政务光纤建设服务</w:t>
            </w:r>
          </w:p>
        </w:tc>
      </w:tr>
      <w:tr w14:paraId="6A6D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89AAB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DF016">
            <w:pPr>
              <w:widowControl/>
              <w:ind w:firstLine="211" w:firstLineChars="10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A端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0156C">
            <w:pPr>
              <w:widowControl/>
              <w:ind w:firstLine="211" w:firstLineChars="10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B端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32990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芯数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40081">
            <w:pPr>
              <w:widowControl/>
              <w:ind w:firstLine="211" w:firstLineChars="10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 w14:paraId="4DA9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83B3B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C17D4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龙华区政数局机房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24851">
            <w:pPr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龙华区国鸿社康站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23403">
            <w:pPr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1201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打通社康访问卫生专网和政务网的光缆线路</w:t>
            </w:r>
          </w:p>
        </w:tc>
      </w:tr>
      <w:tr w14:paraId="1A3E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3D415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D6C60">
            <w:pPr>
              <w:widowControl/>
              <w:ind w:firstLine="210" w:firstLineChars="10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龙华区卫健专网机房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B6077">
            <w:pPr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龙华区国鸿社康站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B0E6">
            <w:pPr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39E2">
            <w:pPr>
              <w:widowControl/>
              <w:ind w:firstLine="210" w:firstLineChars="10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14:paraId="4553C995">
      <w:pPr>
        <w:widowControl/>
        <w:ind w:firstLine="420" w:firstLineChars="200"/>
        <w:jc w:val="lef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★</w:t>
      </w:r>
      <w:r>
        <w:rPr>
          <w:rFonts w:hint="eastAsia" w:ascii="宋体" w:hAnsi="宋体"/>
          <w:color w:val="000000"/>
          <w:sz w:val="21"/>
          <w:szCs w:val="21"/>
        </w:rPr>
        <w:t>费用总包含：光缆、标志牌、光缆接续、光缆中继段测试、机柜、抽水、辅材、光缆运维服务、税费等一切费用。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（此项不满足则为弃标）</w:t>
      </w:r>
    </w:p>
    <w:p w14:paraId="61B43A4B">
      <w:pPr>
        <w:pStyle w:val="6"/>
        <w:numPr>
          <w:ilvl w:val="0"/>
          <w:numId w:val="1"/>
        </w:numPr>
        <w:spacing w:line="360" w:lineRule="exact"/>
        <w:ind w:firstLine="0" w:firstLineChars="0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其它需求</w:t>
      </w:r>
    </w:p>
    <w:p w14:paraId="74C83303">
      <w:pPr>
        <w:pStyle w:val="6"/>
        <w:widowControl/>
        <w:numPr>
          <w:ilvl w:val="0"/>
          <w:numId w:val="2"/>
        </w:numPr>
        <w:spacing w:line="240" w:lineRule="auto"/>
        <w:ind w:left="420" w:firstLine="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</w:rPr>
        <w:t>交货地点：采购人指定地点</w:t>
      </w:r>
    </w:p>
    <w:p w14:paraId="05649B88">
      <w:pPr>
        <w:pStyle w:val="6"/>
        <w:widowControl/>
        <w:numPr>
          <w:ilvl w:val="0"/>
          <w:numId w:val="2"/>
        </w:numPr>
        <w:spacing w:line="240" w:lineRule="auto"/>
        <w:ind w:left="420" w:firstLine="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工期：合同签订后，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1个月内完成项目建设及投入使用。</w:t>
      </w:r>
    </w:p>
    <w:p w14:paraId="0C5C9006">
      <w:pPr>
        <w:pStyle w:val="6"/>
        <w:widowControl/>
        <w:numPr>
          <w:ilvl w:val="0"/>
          <w:numId w:val="2"/>
        </w:numPr>
        <w:spacing w:line="240" w:lineRule="auto"/>
        <w:ind w:left="420" w:firstLine="0" w:firstLineChars="0"/>
        <w:jc w:val="left"/>
        <w:rPr>
          <w:rFonts w:hint="eastAsia" w:ascii="宋体" w:hAnsi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合同支付方式：</w:t>
      </w:r>
    </w:p>
    <w:p w14:paraId="702DB499">
      <w:pPr>
        <w:pStyle w:val="6"/>
        <w:widowControl/>
        <w:spacing w:line="240" w:lineRule="auto"/>
        <w:ind w:left="420" w:firstLine="0" w:firstLineChars="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.1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合同签订后，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设备到货且安装调试完毕，经采购方终验合格后，采购方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30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个日内向投标方支付合同总价的100％作为到货验收款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。</w:t>
      </w:r>
    </w:p>
    <w:p w14:paraId="2B682A9B">
      <w:pPr>
        <w:tabs>
          <w:tab w:val="left" w:pos="4320"/>
        </w:tabs>
        <w:spacing w:line="24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b/>
          <w:bCs/>
          <w:sz w:val="21"/>
          <w:szCs w:val="21"/>
        </w:rPr>
        <w:t>免费保修期内售后服务要求：</w:t>
      </w:r>
      <w:r>
        <w:rPr>
          <w:rFonts w:hint="eastAsia" w:ascii="宋体" w:hAnsi="宋体"/>
          <w:sz w:val="21"/>
          <w:szCs w:val="21"/>
        </w:rPr>
        <w:t>施工过程全部验收合格后（以验收合格签字为标准），投标人向</w:t>
      </w:r>
      <w:r>
        <w:rPr>
          <w:rFonts w:hint="eastAsia" w:ascii="宋体" w:hAnsi="宋体"/>
          <w:sz w:val="21"/>
          <w:szCs w:val="21"/>
          <w:lang w:eastAsia="zh-CN"/>
        </w:rPr>
        <w:t>采购方</w:t>
      </w:r>
      <w:r>
        <w:rPr>
          <w:rFonts w:hint="eastAsia" w:ascii="宋体" w:hAnsi="宋体"/>
          <w:sz w:val="21"/>
          <w:szCs w:val="21"/>
        </w:rPr>
        <w:t>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</w:t>
      </w:r>
      <w:r>
        <w:rPr>
          <w:rFonts w:hint="eastAsia" w:ascii="宋体" w:hAnsi="宋体"/>
          <w:sz w:val="24"/>
          <w:szCs w:val="24"/>
        </w:rPr>
        <w:t>。</w:t>
      </w:r>
    </w:p>
    <w:p w14:paraId="460159A4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523015B4">
      <w:pPr>
        <w:tabs>
          <w:tab w:val="left" w:pos="4223"/>
        </w:tabs>
        <w:spacing w:line="360" w:lineRule="auto"/>
        <w:ind w:firstLine="3570" w:firstLineChars="17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174176D7">
      <w:pPr>
        <w:tabs>
          <w:tab w:val="left" w:pos="4223"/>
        </w:tabs>
        <w:spacing w:line="360" w:lineRule="auto"/>
        <w:jc w:val="center"/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A83A9"/>
    <w:multiLevelType w:val="singleLevel"/>
    <w:tmpl w:val="B95A83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E367E4"/>
    <w:multiLevelType w:val="singleLevel"/>
    <w:tmpl w:val="23E367E4"/>
    <w:lvl w:ilvl="0" w:tentative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310B"/>
    <w:rsid w:val="5E8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List Paragraph"/>
    <w:basedOn w:val="1"/>
    <w:qFormat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2025-04-18T00:42:00Z</dcterms:created>
  <dc:creator>WPS_1721117721</dc:creator>
  <cp:lastModifiedBy>WPS_1721117721</cp:lastModifiedBy>
  <dcterms:modified xsi:type="dcterms:W3CDTF">2025-04-18T00:42:43Z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AD63934DD1484DE399941DA9283DA658_11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