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b/>
          <w:bCs/>
          <w:color w:val="000000"/>
          <w:sz w:val="32"/>
        </w:rPr>
      </w:pPr>
      <w:r>
        <w:rPr>
          <w:rFonts w:hint="eastAsia" w:ascii="宋体" w:hAnsi="宋体"/>
          <w:b/>
          <w:bCs/>
          <w:color w:val="000000"/>
          <w:sz w:val="32"/>
        </w:rPr>
        <w:t>深圳市龙华区人民医院试剂</w:t>
      </w:r>
      <w:r>
        <w:rPr>
          <w:rFonts w:hint="eastAsia"/>
          <w:b/>
          <w:sz w:val="32"/>
          <w:szCs w:val="32"/>
        </w:rPr>
        <w:t>耗材购销合同</w:t>
      </w:r>
    </w:p>
    <w:p>
      <w:pPr>
        <w:spacing w:line="480" w:lineRule="exact"/>
        <w:jc w:val="center"/>
        <w:rPr>
          <w:rFonts w:ascii="宋体" w:hAnsi="宋体"/>
          <w:color w:val="000000"/>
          <w:sz w:val="23"/>
        </w:rPr>
      </w:pPr>
      <w:r>
        <w:rPr>
          <w:rFonts w:hint="eastAsia" w:ascii="宋体" w:hAnsi="宋体"/>
          <w:color w:val="000000"/>
          <w:sz w:val="23"/>
        </w:rPr>
        <w:t xml:space="preserve">                                  </w:t>
      </w:r>
    </w:p>
    <w:p>
      <w:pPr>
        <w:rPr>
          <w:rFonts w:ascii="宋体" w:hAnsi="宋体"/>
          <w:color w:val="000000"/>
          <w:szCs w:val="21"/>
        </w:rPr>
      </w:pPr>
      <w:r>
        <w:rPr>
          <w:rFonts w:hint="eastAsia" w:ascii="宋体" w:hAnsi="宋体"/>
          <w:color w:val="000000"/>
          <w:szCs w:val="21"/>
        </w:rPr>
        <w:t>甲方(需方)：</w:t>
      </w:r>
      <w:r>
        <w:rPr>
          <w:rFonts w:hint="eastAsia" w:ascii="宋体" w:hAnsi="宋体"/>
          <w:color w:val="000000"/>
          <w:szCs w:val="21"/>
          <w:u w:val="single"/>
        </w:rPr>
        <w:t>深圳市龙华区人民医院</w:t>
      </w:r>
    </w:p>
    <w:p>
      <w:pPr>
        <w:rPr>
          <w:rFonts w:ascii="宋体" w:hAnsi="宋体"/>
          <w:color w:val="FF0000"/>
          <w:szCs w:val="21"/>
        </w:rPr>
      </w:pPr>
      <w:r>
        <w:rPr>
          <w:rFonts w:hint="eastAsia" w:ascii="宋体" w:hAnsi="宋体"/>
          <w:color w:val="FF0000"/>
          <w:szCs w:val="21"/>
        </w:rPr>
        <w:t>乙方(供方)：</w:t>
      </w:r>
      <w:r>
        <w:rPr>
          <w:rFonts w:hint="eastAsia" w:ascii="宋体" w:hAnsi="宋体"/>
          <w:color w:val="FF0000"/>
          <w:szCs w:val="21"/>
          <w:u w:val="single"/>
        </w:rPr>
        <w:t xml:space="preserve">                 </w:t>
      </w:r>
    </w:p>
    <w:p>
      <w:pPr>
        <w:snapToGrid w:val="0"/>
        <w:spacing w:line="480" w:lineRule="exact"/>
        <w:ind w:firstLine="420" w:firstLineChars="200"/>
        <w:rPr>
          <w:rFonts w:ascii="宋体" w:hAnsi="宋体"/>
          <w:bCs/>
          <w:szCs w:val="21"/>
        </w:rPr>
      </w:pPr>
      <w:r>
        <w:rPr>
          <w:rFonts w:hint="eastAsia" w:ascii="宋体" w:hAnsi="宋体"/>
          <w:bCs/>
          <w:szCs w:val="21"/>
        </w:rPr>
        <w:t>合同双方于</w:t>
      </w:r>
      <w:r>
        <w:rPr>
          <w:rFonts w:hint="eastAsia" w:ascii="宋体" w:hAnsi="宋体"/>
          <w:color w:val="FF0000"/>
          <w:szCs w:val="21"/>
        </w:rPr>
        <w:t>20</w:t>
      </w:r>
      <w:r>
        <w:rPr>
          <w:rFonts w:hint="eastAsia" w:ascii="宋体" w:hAnsi="宋体"/>
          <w:color w:val="FF0000"/>
          <w:szCs w:val="21"/>
          <w:lang w:val="en-US" w:eastAsia="zh-CN"/>
        </w:rPr>
        <w:t xml:space="preserve">  </w:t>
      </w:r>
      <w:r>
        <w:rPr>
          <w:rFonts w:hint="eastAsia" w:ascii="宋体" w:hAnsi="宋体"/>
          <w:color w:val="FF0000"/>
          <w:szCs w:val="21"/>
        </w:rPr>
        <w:t>年   月   日</w:t>
      </w:r>
      <w:r>
        <w:rPr>
          <w:rFonts w:hint="eastAsia" w:ascii="宋体" w:hAnsi="宋体"/>
          <w:bCs/>
          <w:szCs w:val="21"/>
        </w:rPr>
        <w:t>深圳市龙华区人民医院招标和遴选项目的结果，经双方谈判协调达成一致，同意签订购销合同（</w:t>
      </w:r>
      <w:r>
        <w:rPr>
          <w:rFonts w:hint="eastAsia" w:ascii="宋体" w:hAnsi="宋体"/>
          <w:bCs/>
          <w:color w:val="FF0000"/>
          <w:szCs w:val="21"/>
        </w:rPr>
        <w:t>合同编号：</w:t>
      </w:r>
      <w:r>
        <w:rPr>
          <w:rFonts w:hint="eastAsia" w:ascii="宋体" w:hAnsi="宋体"/>
          <w:bCs/>
          <w:color w:val="FF0000"/>
          <w:szCs w:val="21"/>
          <w:lang w:eastAsia="zh-Hans"/>
        </w:rPr>
        <w:t>XXX，合同类型：XXX（</w:t>
      </w:r>
      <w:r>
        <w:rPr>
          <w:rFonts w:ascii="宋体" w:hAnsi="宋体"/>
          <w:bCs/>
          <w:color w:val="FF0000"/>
          <w:szCs w:val="21"/>
          <w:lang w:eastAsia="zh-Hans"/>
        </w:rPr>
        <w:t>1.</w:t>
      </w:r>
      <w:r>
        <w:rPr>
          <w:rFonts w:hint="eastAsia" w:ascii="宋体" w:hAnsi="宋体"/>
          <w:bCs/>
          <w:color w:val="FF0000"/>
          <w:szCs w:val="21"/>
          <w:lang w:eastAsia="zh-Hans"/>
        </w:rPr>
        <w:t>首次签订</w:t>
      </w:r>
      <w:r>
        <w:rPr>
          <w:rFonts w:ascii="宋体" w:hAnsi="宋体"/>
          <w:bCs/>
          <w:color w:val="FF0000"/>
          <w:szCs w:val="21"/>
          <w:lang w:eastAsia="zh-Hans"/>
        </w:rPr>
        <w:t xml:space="preserve"> 2.</w:t>
      </w:r>
      <w:r>
        <w:rPr>
          <w:rFonts w:hint="eastAsia" w:ascii="宋体" w:hAnsi="宋体"/>
          <w:bCs/>
          <w:color w:val="FF0000"/>
          <w:szCs w:val="21"/>
          <w:lang w:eastAsia="zh-Hans"/>
        </w:rPr>
        <w:t>第</w:t>
      </w:r>
      <w:r>
        <w:rPr>
          <w:rFonts w:ascii="宋体" w:hAnsi="宋体"/>
          <w:bCs/>
          <w:color w:val="FF0000"/>
          <w:szCs w:val="21"/>
          <w:lang w:eastAsia="zh-Hans"/>
        </w:rPr>
        <w:t>1</w:t>
      </w:r>
      <w:r>
        <w:rPr>
          <w:rFonts w:hint="eastAsia" w:ascii="宋体" w:hAnsi="宋体"/>
          <w:bCs/>
          <w:color w:val="FF0000"/>
          <w:szCs w:val="21"/>
          <w:lang w:eastAsia="zh-Hans"/>
        </w:rPr>
        <w:t>次续签</w:t>
      </w:r>
      <w:r>
        <w:rPr>
          <w:rFonts w:ascii="宋体" w:hAnsi="宋体"/>
          <w:bCs/>
          <w:color w:val="FF0000"/>
          <w:szCs w:val="21"/>
          <w:lang w:eastAsia="zh-Hans"/>
        </w:rPr>
        <w:t xml:space="preserve"> 3.</w:t>
      </w:r>
      <w:r>
        <w:rPr>
          <w:rFonts w:hint="eastAsia" w:ascii="宋体" w:hAnsi="宋体"/>
          <w:bCs/>
          <w:color w:val="FF0000"/>
          <w:szCs w:val="21"/>
          <w:lang w:eastAsia="zh-Hans"/>
        </w:rPr>
        <w:t>第</w:t>
      </w:r>
      <w:r>
        <w:rPr>
          <w:rFonts w:ascii="宋体" w:hAnsi="宋体"/>
          <w:bCs/>
          <w:color w:val="FF0000"/>
          <w:szCs w:val="21"/>
          <w:lang w:eastAsia="zh-Hans"/>
        </w:rPr>
        <w:t>2</w:t>
      </w:r>
      <w:r>
        <w:rPr>
          <w:rFonts w:hint="eastAsia" w:ascii="宋体" w:hAnsi="宋体"/>
          <w:bCs/>
          <w:color w:val="FF0000"/>
          <w:szCs w:val="21"/>
          <w:lang w:eastAsia="zh-Hans"/>
        </w:rPr>
        <w:t>次续签）</w:t>
      </w:r>
      <w:r>
        <w:rPr>
          <w:rFonts w:hint="eastAsia" w:ascii="宋体" w:hAnsi="宋体"/>
          <w:bCs/>
          <w:szCs w:val="21"/>
        </w:rPr>
        <w:t>）：</w:t>
      </w:r>
    </w:p>
    <w:p>
      <w:pPr>
        <w:spacing w:line="480" w:lineRule="exact"/>
        <w:rPr>
          <w:rFonts w:ascii="宋体" w:hAnsi="宋体"/>
          <w:color w:val="000000"/>
          <w:szCs w:val="21"/>
        </w:rPr>
      </w:pPr>
      <w:r>
        <w:rPr>
          <w:rFonts w:hint="eastAsia" w:ascii="宋体" w:hAnsi="宋体"/>
          <w:bCs/>
          <w:color w:val="000000"/>
          <w:szCs w:val="21"/>
        </w:rPr>
        <w:t>一、</w:t>
      </w:r>
      <w:r>
        <w:rPr>
          <w:rFonts w:hint="eastAsia" w:ascii="宋体" w:hAnsi="宋体"/>
          <w:color w:val="000000"/>
          <w:szCs w:val="21"/>
        </w:rPr>
        <w:t>乙</w:t>
      </w:r>
      <w:r>
        <w:rPr>
          <w:rFonts w:hint="eastAsia" w:ascii="宋体" w:hAnsi="宋体"/>
          <w:bCs/>
          <w:color w:val="000000"/>
          <w:szCs w:val="21"/>
        </w:rPr>
        <w:t>方按</w:t>
      </w:r>
      <w:r>
        <w:rPr>
          <w:rFonts w:hint="eastAsia" w:ascii="宋体" w:hAnsi="宋体"/>
          <w:color w:val="000000"/>
          <w:szCs w:val="21"/>
        </w:rPr>
        <w:t>双方</w:t>
      </w:r>
      <w:r>
        <w:rPr>
          <w:rFonts w:hint="eastAsia" w:ascii="宋体" w:hAnsi="宋体"/>
          <w:szCs w:val="21"/>
        </w:rPr>
        <w:t>谈判协商</w:t>
      </w:r>
      <w:r>
        <w:rPr>
          <w:rFonts w:hint="eastAsia" w:ascii="宋体" w:hAnsi="宋体"/>
          <w:bCs/>
          <w:color w:val="000000"/>
          <w:szCs w:val="21"/>
        </w:rPr>
        <w:t>价格同意向</w:t>
      </w:r>
      <w:r>
        <w:rPr>
          <w:rFonts w:hint="eastAsia" w:ascii="宋体" w:hAnsi="宋体"/>
          <w:color w:val="000000"/>
          <w:szCs w:val="21"/>
        </w:rPr>
        <w:t>甲</w:t>
      </w:r>
      <w:r>
        <w:rPr>
          <w:rFonts w:hint="eastAsia" w:ascii="宋体" w:hAnsi="宋体"/>
          <w:bCs/>
          <w:color w:val="000000"/>
          <w:szCs w:val="21"/>
        </w:rPr>
        <w:t>方出售下表所列试剂耗材（或</w:t>
      </w:r>
      <w:r>
        <w:rPr>
          <w:rFonts w:hint="eastAsia" w:ascii="宋体" w:hAnsi="宋体"/>
          <w:b/>
          <w:color w:val="000000"/>
          <w:szCs w:val="21"/>
        </w:rPr>
        <w:t>见附件</w:t>
      </w:r>
      <w:r>
        <w:rPr>
          <w:rFonts w:hint="eastAsia" w:ascii="宋体" w:hAnsi="宋体"/>
          <w:bCs/>
          <w:color w:val="000000"/>
          <w:szCs w:val="21"/>
        </w:rPr>
        <w:t>）</w:t>
      </w:r>
    </w:p>
    <w:tbl>
      <w:tblPr>
        <w:tblStyle w:val="7"/>
        <w:tblW w:w="10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268"/>
        <w:gridCol w:w="2105"/>
        <w:gridCol w:w="1597"/>
        <w:gridCol w:w="1038"/>
        <w:gridCol w:w="575"/>
        <w:gridCol w:w="639"/>
        <w:gridCol w:w="92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spacing w:line="240" w:lineRule="atLeast"/>
              <w:jc w:val="center"/>
              <w:rPr>
                <w:rFonts w:ascii="宋体" w:hAnsi="宋体"/>
                <w:bCs/>
                <w:color w:val="FF0000"/>
                <w:szCs w:val="21"/>
              </w:rPr>
            </w:pPr>
            <w:r>
              <w:rPr>
                <w:rFonts w:hint="eastAsia" w:ascii="宋体" w:hAnsi="宋体"/>
                <w:bCs/>
                <w:color w:val="FF0000"/>
                <w:szCs w:val="21"/>
              </w:rPr>
              <w:t>序号</w:t>
            </w:r>
          </w:p>
        </w:tc>
        <w:tc>
          <w:tcPr>
            <w:tcW w:w="2268" w:type="dxa"/>
            <w:vAlign w:val="center"/>
          </w:tcPr>
          <w:p>
            <w:pPr>
              <w:spacing w:line="240" w:lineRule="atLeast"/>
              <w:ind w:left="-13" w:leftChars="-51" w:hanging="94" w:hangingChars="45"/>
              <w:jc w:val="center"/>
              <w:rPr>
                <w:rFonts w:ascii="宋体" w:hAnsi="宋体"/>
                <w:bCs/>
                <w:color w:val="FF0000"/>
                <w:szCs w:val="21"/>
              </w:rPr>
            </w:pPr>
            <w:r>
              <w:rPr>
                <w:rFonts w:hint="eastAsia" w:ascii="宋体" w:hAnsi="宋体"/>
                <w:bCs/>
                <w:color w:val="FF0000"/>
                <w:szCs w:val="21"/>
              </w:rPr>
              <w:t>物资名称</w:t>
            </w:r>
          </w:p>
          <w:p>
            <w:pPr>
              <w:spacing w:line="240" w:lineRule="atLeast"/>
              <w:ind w:left="-13" w:leftChars="-51" w:hanging="94" w:hangingChars="45"/>
              <w:jc w:val="center"/>
              <w:rPr>
                <w:rFonts w:ascii="宋体" w:hAnsi="宋体"/>
                <w:bCs/>
                <w:color w:val="FF0000"/>
                <w:szCs w:val="21"/>
              </w:rPr>
            </w:pPr>
            <w:r>
              <w:rPr>
                <w:rFonts w:hint="eastAsia" w:ascii="宋体" w:hAnsi="宋体"/>
                <w:bCs/>
                <w:color w:val="FF0000"/>
                <w:szCs w:val="21"/>
              </w:rPr>
              <w:t>（中标通知书或遴选议价结果）</w:t>
            </w:r>
          </w:p>
        </w:tc>
        <w:tc>
          <w:tcPr>
            <w:tcW w:w="2105" w:type="dxa"/>
            <w:vAlign w:val="center"/>
          </w:tcPr>
          <w:p>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物资名称</w:t>
            </w:r>
          </w:p>
          <w:p>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（注册证）</w:t>
            </w:r>
          </w:p>
        </w:tc>
        <w:tc>
          <w:tcPr>
            <w:tcW w:w="1597" w:type="dxa"/>
            <w:vAlign w:val="center"/>
          </w:tcPr>
          <w:p>
            <w:pPr>
              <w:spacing w:line="240" w:lineRule="atLeast"/>
              <w:ind w:leftChars="-1" w:hanging="2" w:hangingChars="1"/>
              <w:jc w:val="center"/>
              <w:rPr>
                <w:rFonts w:ascii="宋体" w:hAnsi="宋体"/>
                <w:bCs/>
                <w:color w:val="FF0000"/>
                <w:szCs w:val="21"/>
              </w:rPr>
            </w:pPr>
            <w:r>
              <w:rPr>
                <w:rFonts w:hint="eastAsia" w:ascii="宋体" w:hAnsi="宋体"/>
                <w:bCs/>
                <w:color w:val="FF0000"/>
                <w:szCs w:val="21"/>
              </w:rPr>
              <w:t>规格型号</w:t>
            </w:r>
          </w:p>
        </w:tc>
        <w:tc>
          <w:tcPr>
            <w:tcW w:w="1038" w:type="dxa"/>
            <w:vAlign w:val="center"/>
          </w:tcPr>
          <w:p>
            <w:pPr>
              <w:spacing w:line="240" w:lineRule="atLeast"/>
              <w:ind w:left="-17" w:leftChars="-63" w:hanging="115" w:hangingChars="55"/>
              <w:jc w:val="center"/>
              <w:rPr>
                <w:rFonts w:ascii="宋体" w:hAnsi="宋体"/>
                <w:bCs/>
                <w:color w:val="FF0000"/>
                <w:szCs w:val="21"/>
              </w:rPr>
            </w:pPr>
            <w:r>
              <w:rPr>
                <w:rFonts w:hint="eastAsia" w:ascii="宋体" w:hAnsi="宋体"/>
                <w:bCs/>
                <w:color w:val="FF0000"/>
                <w:szCs w:val="21"/>
              </w:rPr>
              <w:t>产地品牌</w:t>
            </w:r>
          </w:p>
        </w:tc>
        <w:tc>
          <w:tcPr>
            <w:tcW w:w="575" w:type="dxa"/>
            <w:vAlign w:val="center"/>
          </w:tcPr>
          <w:p>
            <w:pPr>
              <w:spacing w:line="240" w:lineRule="atLeast"/>
              <w:ind w:left="-136" w:leftChars="-65" w:right="-107" w:rightChars="-51" w:firstLine="1"/>
              <w:jc w:val="center"/>
              <w:rPr>
                <w:rFonts w:ascii="宋体" w:hAnsi="宋体"/>
                <w:bCs/>
                <w:color w:val="FF0000"/>
                <w:szCs w:val="21"/>
              </w:rPr>
            </w:pPr>
          </w:p>
          <w:p>
            <w:pPr>
              <w:spacing w:line="240" w:lineRule="atLeast"/>
              <w:ind w:left="-136" w:leftChars="-65" w:right="-107" w:rightChars="-51" w:firstLine="1"/>
              <w:jc w:val="center"/>
              <w:rPr>
                <w:rFonts w:ascii="宋体" w:hAnsi="宋体"/>
                <w:bCs/>
                <w:color w:val="FF0000"/>
                <w:szCs w:val="21"/>
              </w:rPr>
            </w:pPr>
            <w:r>
              <w:rPr>
                <w:rFonts w:hint="eastAsia" w:ascii="宋体" w:hAnsi="宋体"/>
                <w:bCs/>
                <w:color w:val="FF0000"/>
                <w:szCs w:val="21"/>
              </w:rPr>
              <w:t>包装单位</w:t>
            </w:r>
          </w:p>
          <w:p>
            <w:pPr>
              <w:spacing w:line="240" w:lineRule="atLeast"/>
              <w:ind w:left="-136" w:leftChars="-65" w:right="-107" w:rightChars="-51" w:firstLine="1"/>
              <w:jc w:val="center"/>
              <w:rPr>
                <w:rFonts w:ascii="宋体" w:hAnsi="宋体"/>
                <w:bCs/>
                <w:color w:val="FF0000"/>
                <w:szCs w:val="21"/>
              </w:rPr>
            </w:pPr>
          </w:p>
        </w:tc>
        <w:tc>
          <w:tcPr>
            <w:tcW w:w="639" w:type="dxa"/>
            <w:vAlign w:val="center"/>
          </w:tcPr>
          <w:p>
            <w:pPr>
              <w:spacing w:line="240" w:lineRule="atLeast"/>
              <w:ind w:left="-106" w:leftChars="-51" w:right="-73" w:rightChars="-35" w:hanging="1"/>
              <w:jc w:val="center"/>
              <w:rPr>
                <w:rFonts w:hint="eastAsia" w:ascii="宋体" w:hAnsi="宋体" w:eastAsia="宋体"/>
                <w:bCs/>
                <w:color w:val="FF0000"/>
                <w:szCs w:val="21"/>
                <w:lang w:eastAsia="zh-CN"/>
              </w:rPr>
            </w:pPr>
            <w:r>
              <w:rPr>
                <w:rFonts w:hint="eastAsia" w:ascii="宋体" w:hAnsi="宋体"/>
                <w:bCs/>
                <w:color w:val="FF0000"/>
                <w:szCs w:val="21"/>
              </w:rPr>
              <w:t>包装单价</w:t>
            </w:r>
            <w:r>
              <w:rPr>
                <w:rFonts w:hint="eastAsia" w:ascii="宋体" w:hAnsi="宋体"/>
                <w:bCs/>
                <w:color w:val="FF0000"/>
                <w:szCs w:val="21"/>
                <w:lang w:eastAsia="zh-CN"/>
              </w:rPr>
              <w:t>（</w:t>
            </w:r>
            <w:r>
              <w:rPr>
                <w:rFonts w:hint="eastAsia" w:ascii="宋体" w:hAnsi="宋体"/>
                <w:bCs/>
                <w:color w:val="FF0000"/>
                <w:szCs w:val="21"/>
                <w:lang w:val="en-US" w:eastAsia="zh-CN"/>
              </w:rPr>
              <w:t>含税</w:t>
            </w:r>
            <w:r>
              <w:rPr>
                <w:rFonts w:hint="eastAsia" w:ascii="宋体" w:hAnsi="宋体"/>
                <w:bCs/>
                <w:color w:val="FF0000"/>
                <w:szCs w:val="21"/>
                <w:lang w:eastAsia="zh-CN"/>
              </w:rPr>
              <w:t>）</w:t>
            </w:r>
          </w:p>
        </w:tc>
        <w:tc>
          <w:tcPr>
            <w:tcW w:w="923" w:type="dxa"/>
            <w:vAlign w:val="center"/>
          </w:tcPr>
          <w:p>
            <w:pPr>
              <w:spacing w:line="240" w:lineRule="atLeast"/>
              <w:ind w:left="-106" w:leftChars="-51" w:right="-73" w:rightChars="-35" w:hanging="1"/>
              <w:jc w:val="center"/>
              <w:rPr>
                <w:rFonts w:ascii="宋体" w:hAnsi="宋体"/>
                <w:bCs/>
                <w:color w:val="FF0000"/>
                <w:szCs w:val="21"/>
              </w:rPr>
            </w:pPr>
          </w:p>
          <w:p>
            <w:pPr>
              <w:spacing w:line="240" w:lineRule="atLeast"/>
              <w:ind w:left="-106" w:leftChars="-51" w:right="-73" w:rightChars="-35" w:hanging="1"/>
              <w:jc w:val="center"/>
              <w:rPr>
                <w:rFonts w:ascii="宋体" w:hAnsi="宋体"/>
                <w:bCs/>
                <w:color w:val="FF0000"/>
                <w:szCs w:val="21"/>
              </w:rPr>
            </w:pPr>
            <w:r>
              <w:rPr>
                <w:rFonts w:hint="eastAsia" w:ascii="宋体" w:hAnsi="宋体"/>
                <w:bCs/>
                <w:color w:val="FF0000"/>
                <w:szCs w:val="21"/>
              </w:rPr>
              <w:t>测试人份</w:t>
            </w:r>
          </w:p>
          <w:p>
            <w:pPr>
              <w:spacing w:line="240" w:lineRule="atLeast"/>
              <w:ind w:left="-106" w:leftChars="-51" w:right="-73" w:rightChars="-35" w:hanging="1"/>
              <w:jc w:val="center"/>
              <w:rPr>
                <w:rFonts w:ascii="宋体" w:hAnsi="宋体"/>
                <w:bCs/>
                <w:color w:val="FF0000"/>
                <w:sz w:val="20"/>
                <w:szCs w:val="20"/>
              </w:rPr>
            </w:pPr>
            <w:r>
              <w:rPr>
                <w:rFonts w:hint="eastAsia" w:ascii="宋体" w:hAnsi="宋体"/>
                <w:bCs/>
                <w:color w:val="FF0000"/>
                <w:sz w:val="20"/>
                <w:szCs w:val="20"/>
              </w:rPr>
              <w:t>（试剂）</w:t>
            </w:r>
          </w:p>
          <w:p>
            <w:pPr>
              <w:spacing w:line="240" w:lineRule="atLeast"/>
              <w:ind w:left="-106" w:leftChars="-51" w:right="-73" w:rightChars="-35" w:hanging="1"/>
              <w:jc w:val="center"/>
              <w:rPr>
                <w:rFonts w:hint="eastAsia" w:ascii="宋体" w:hAnsi="宋体" w:eastAsia="宋体"/>
                <w:bCs/>
                <w:color w:val="FF0000"/>
                <w:szCs w:val="21"/>
                <w:lang w:eastAsia="zh-CN"/>
              </w:rPr>
            </w:pPr>
          </w:p>
        </w:tc>
        <w:tc>
          <w:tcPr>
            <w:tcW w:w="1159" w:type="dxa"/>
            <w:vAlign w:val="center"/>
          </w:tcPr>
          <w:p>
            <w:pPr>
              <w:spacing w:line="240" w:lineRule="atLeast"/>
              <w:ind w:left="-106" w:leftChars="-51" w:right="-73" w:rightChars="-35" w:hanging="1"/>
              <w:jc w:val="center"/>
              <w:rPr>
                <w:rFonts w:ascii="宋体" w:hAnsi="宋体"/>
                <w:bCs/>
                <w:color w:val="FF0000"/>
                <w:szCs w:val="21"/>
              </w:rPr>
            </w:pPr>
            <w:r>
              <w:rPr>
                <w:rFonts w:hint="eastAsia" w:ascii="宋体" w:hAnsi="宋体"/>
                <w:bCs/>
                <w:color w:val="FF0000"/>
                <w:szCs w:val="21"/>
              </w:rPr>
              <w:t>每人份单价</w:t>
            </w:r>
          </w:p>
          <w:p>
            <w:pPr>
              <w:spacing w:line="240" w:lineRule="atLeast"/>
              <w:ind w:left="-106" w:leftChars="-51" w:right="-73" w:rightChars="-35" w:hanging="1"/>
              <w:jc w:val="center"/>
              <w:rPr>
                <w:rFonts w:hint="eastAsia" w:ascii="宋体" w:hAnsi="宋体" w:eastAsia="宋体"/>
                <w:bCs/>
                <w:color w:val="FF0000"/>
                <w:szCs w:val="21"/>
                <w:lang w:eastAsia="zh-CN"/>
              </w:rPr>
            </w:pPr>
            <w:r>
              <w:rPr>
                <w:rFonts w:hint="eastAsia" w:ascii="宋体" w:hAnsi="宋体"/>
                <w:bCs/>
                <w:color w:val="FF0000"/>
                <w:sz w:val="20"/>
                <w:szCs w:val="20"/>
              </w:rPr>
              <w:t>（试剂）</w:t>
            </w:r>
            <w:r>
              <w:rPr>
                <w:rFonts w:hint="eastAsia" w:ascii="宋体" w:hAnsi="宋体"/>
                <w:bCs/>
                <w:color w:val="FF0000"/>
                <w:sz w:val="20"/>
                <w:szCs w:val="20"/>
                <w:lang w:eastAsia="zh-CN"/>
              </w:rPr>
              <w:t>（</w:t>
            </w:r>
            <w:r>
              <w:rPr>
                <w:rFonts w:hint="eastAsia" w:ascii="宋体" w:hAnsi="宋体"/>
                <w:bCs/>
                <w:color w:val="FF0000"/>
                <w:sz w:val="20"/>
                <w:szCs w:val="20"/>
                <w:lang w:val="en-US" w:eastAsia="zh-CN"/>
              </w:rPr>
              <w:t>含税</w:t>
            </w:r>
            <w:r>
              <w:rPr>
                <w:rFonts w:hint="eastAsia" w:ascii="宋体" w:hAnsi="宋体"/>
                <w:bCs/>
                <w:color w:val="FF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widowControl/>
              <w:spacing w:line="240" w:lineRule="atLeast"/>
              <w:jc w:val="center"/>
              <w:rPr>
                <w:rFonts w:ascii="宋体" w:hAnsi="宋体" w:cs="宋体"/>
                <w:color w:val="FF0000"/>
                <w:kern w:val="0"/>
                <w:szCs w:val="21"/>
              </w:rPr>
            </w:pPr>
            <w:r>
              <w:rPr>
                <w:rFonts w:hint="eastAsia" w:ascii="宋体" w:hAnsi="宋体" w:cs="宋体"/>
                <w:color w:val="FF0000"/>
                <w:kern w:val="0"/>
                <w:szCs w:val="21"/>
              </w:rPr>
              <w:t>1</w:t>
            </w:r>
          </w:p>
        </w:tc>
        <w:tc>
          <w:tcPr>
            <w:tcW w:w="2268" w:type="dxa"/>
            <w:vAlign w:val="center"/>
          </w:tcPr>
          <w:p>
            <w:pPr>
              <w:jc w:val="center"/>
              <w:rPr>
                <w:rFonts w:ascii="宋体" w:hAnsi="宋体" w:cs="宋体"/>
                <w:color w:val="FF0000"/>
                <w:szCs w:val="21"/>
              </w:rPr>
            </w:pPr>
          </w:p>
        </w:tc>
        <w:tc>
          <w:tcPr>
            <w:tcW w:w="2105" w:type="dxa"/>
          </w:tcPr>
          <w:p>
            <w:pPr>
              <w:jc w:val="center"/>
              <w:rPr>
                <w:rFonts w:ascii="宋体" w:hAnsi="宋体"/>
                <w:bCs/>
                <w:color w:val="FF0000"/>
                <w:szCs w:val="21"/>
              </w:rPr>
            </w:pPr>
          </w:p>
        </w:tc>
        <w:tc>
          <w:tcPr>
            <w:tcW w:w="1597" w:type="dxa"/>
            <w:vAlign w:val="center"/>
          </w:tcPr>
          <w:p>
            <w:pPr>
              <w:jc w:val="center"/>
              <w:rPr>
                <w:rFonts w:ascii="宋体" w:hAnsi="宋体"/>
                <w:bCs/>
                <w:color w:val="FF0000"/>
                <w:szCs w:val="21"/>
              </w:rPr>
            </w:pPr>
          </w:p>
        </w:tc>
        <w:tc>
          <w:tcPr>
            <w:tcW w:w="1038" w:type="dxa"/>
            <w:vAlign w:val="center"/>
          </w:tcPr>
          <w:p>
            <w:pPr>
              <w:jc w:val="center"/>
              <w:rPr>
                <w:rFonts w:ascii="宋体" w:hAnsi="宋体"/>
                <w:bCs/>
                <w:color w:val="FF0000"/>
                <w:szCs w:val="21"/>
              </w:rPr>
            </w:pPr>
          </w:p>
        </w:tc>
        <w:tc>
          <w:tcPr>
            <w:tcW w:w="575" w:type="dxa"/>
            <w:vAlign w:val="center"/>
          </w:tcPr>
          <w:p>
            <w:pPr>
              <w:jc w:val="center"/>
              <w:rPr>
                <w:rFonts w:ascii="宋体" w:hAnsi="宋体"/>
                <w:color w:val="FF0000"/>
                <w:szCs w:val="21"/>
              </w:rPr>
            </w:pPr>
          </w:p>
        </w:tc>
        <w:tc>
          <w:tcPr>
            <w:tcW w:w="639" w:type="dxa"/>
            <w:vAlign w:val="center"/>
          </w:tcPr>
          <w:p>
            <w:pPr>
              <w:jc w:val="center"/>
              <w:rPr>
                <w:rFonts w:ascii="宋体" w:hAnsi="宋体"/>
                <w:color w:val="FF0000"/>
                <w:szCs w:val="21"/>
              </w:rPr>
            </w:pPr>
          </w:p>
        </w:tc>
        <w:tc>
          <w:tcPr>
            <w:tcW w:w="923" w:type="dxa"/>
            <w:vAlign w:val="center"/>
          </w:tcPr>
          <w:p>
            <w:pPr>
              <w:jc w:val="center"/>
              <w:rPr>
                <w:rFonts w:ascii="宋体" w:hAnsi="宋体"/>
                <w:color w:val="FF0000"/>
                <w:szCs w:val="21"/>
              </w:rPr>
            </w:pPr>
          </w:p>
        </w:tc>
        <w:tc>
          <w:tcPr>
            <w:tcW w:w="1159" w:type="dxa"/>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widowControl/>
              <w:spacing w:line="240" w:lineRule="atLeast"/>
              <w:jc w:val="center"/>
              <w:rPr>
                <w:rFonts w:ascii="宋体" w:hAnsi="宋体" w:cs="宋体"/>
                <w:color w:val="FF0000"/>
                <w:kern w:val="0"/>
                <w:szCs w:val="21"/>
              </w:rPr>
            </w:pPr>
            <w:r>
              <w:rPr>
                <w:rFonts w:hint="eastAsia" w:ascii="宋体" w:hAnsi="宋体" w:cs="宋体"/>
                <w:color w:val="FF0000"/>
                <w:kern w:val="0"/>
                <w:szCs w:val="21"/>
              </w:rPr>
              <w:t>2</w:t>
            </w:r>
          </w:p>
        </w:tc>
        <w:tc>
          <w:tcPr>
            <w:tcW w:w="2268" w:type="dxa"/>
            <w:vAlign w:val="center"/>
          </w:tcPr>
          <w:p>
            <w:pPr>
              <w:jc w:val="center"/>
              <w:rPr>
                <w:rFonts w:ascii="宋体" w:hAnsi="宋体" w:cs="宋体"/>
                <w:color w:val="FF0000"/>
                <w:szCs w:val="21"/>
              </w:rPr>
            </w:pPr>
          </w:p>
        </w:tc>
        <w:tc>
          <w:tcPr>
            <w:tcW w:w="2105" w:type="dxa"/>
          </w:tcPr>
          <w:p>
            <w:pPr>
              <w:jc w:val="center"/>
              <w:rPr>
                <w:rFonts w:ascii="宋体" w:hAnsi="宋体"/>
                <w:bCs/>
                <w:color w:val="FF0000"/>
                <w:szCs w:val="21"/>
              </w:rPr>
            </w:pPr>
          </w:p>
        </w:tc>
        <w:tc>
          <w:tcPr>
            <w:tcW w:w="1597" w:type="dxa"/>
            <w:vAlign w:val="center"/>
          </w:tcPr>
          <w:p>
            <w:pPr>
              <w:jc w:val="center"/>
              <w:rPr>
                <w:rFonts w:ascii="宋体" w:hAnsi="宋体"/>
                <w:bCs/>
                <w:color w:val="FF0000"/>
                <w:szCs w:val="21"/>
              </w:rPr>
            </w:pPr>
          </w:p>
        </w:tc>
        <w:tc>
          <w:tcPr>
            <w:tcW w:w="1038" w:type="dxa"/>
            <w:vAlign w:val="center"/>
          </w:tcPr>
          <w:p>
            <w:pPr>
              <w:jc w:val="center"/>
              <w:rPr>
                <w:rFonts w:ascii="宋体" w:hAnsi="宋体"/>
                <w:bCs/>
                <w:color w:val="FF0000"/>
                <w:szCs w:val="21"/>
              </w:rPr>
            </w:pPr>
          </w:p>
        </w:tc>
        <w:tc>
          <w:tcPr>
            <w:tcW w:w="575" w:type="dxa"/>
            <w:vAlign w:val="center"/>
          </w:tcPr>
          <w:p>
            <w:pPr>
              <w:jc w:val="center"/>
              <w:rPr>
                <w:rFonts w:ascii="宋体" w:hAnsi="宋体"/>
                <w:color w:val="FF0000"/>
                <w:szCs w:val="21"/>
              </w:rPr>
            </w:pPr>
          </w:p>
        </w:tc>
        <w:tc>
          <w:tcPr>
            <w:tcW w:w="639" w:type="dxa"/>
            <w:vAlign w:val="center"/>
          </w:tcPr>
          <w:p>
            <w:pPr>
              <w:jc w:val="center"/>
              <w:rPr>
                <w:rFonts w:ascii="宋体" w:hAnsi="宋体"/>
                <w:color w:val="FF0000"/>
                <w:szCs w:val="21"/>
              </w:rPr>
            </w:pPr>
          </w:p>
        </w:tc>
        <w:tc>
          <w:tcPr>
            <w:tcW w:w="923" w:type="dxa"/>
            <w:vAlign w:val="center"/>
          </w:tcPr>
          <w:p>
            <w:pPr>
              <w:jc w:val="center"/>
              <w:rPr>
                <w:rFonts w:ascii="宋体" w:hAnsi="宋体"/>
                <w:color w:val="FF0000"/>
                <w:szCs w:val="21"/>
              </w:rPr>
            </w:pPr>
          </w:p>
        </w:tc>
        <w:tc>
          <w:tcPr>
            <w:tcW w:w="1159" w:type="dxa"/>
            <w:vAlign w:val="center"/>
          </w:tcPr>
          <w:p>
            <w:pPr>
              <w:jc w:val="center"/>
              <w:rPr>
                <w:rFonts w:ascii="宋体" w:hAnsi="宋体"/>
                <w:color w:val="FF0000"/>
                <w:szCs w:val="21"/>
              </w:rPr>
            </w:pPr>
          </w:p>
        </w:tc>
      </w:tr>
    </w:tbl>
    <w:p>
      <w:pPr>
        <w:spacing w:line="300" w:lineRule="exact"/>
        <w:rPr>
          <w:rFonts w:ascii="宋体" w:hAnsi="宋体"/>
          <w:bCs/>
          <w:color w:val="000000"/>
          <w:szCs w:val="21"/>
        </w:rPr>
      </w:pPr>
    </w:p>
    <w:p>
      <w:pPr>
        <w:spacing w:line="300" w:lineRule="exact"/>
        <w:rPr>
          <w:rFonts w:ascii="宋体" w:hAnsi="宋体"/>
          <w:bCs/>
          <w:color w:val="000000"/>
          <w:szCs w:val="21"/>
        </w:rPr>
      </w:pPr>
      <w:r>
        <w:rPr>
          <w:rFonts w:hint="eastAsia" w:ascii="宋体" w:hAnsi="宋体"/>
          <w:bCs/>
          <w:color w:val="000000"/>
          <w:szCs w:val="21"/>
        </w:rPr>
        <w:t>二、结算和支付方式</w:t>
      </w:r>
    </w:p>
    <w:p>
      <w:pPr>
        <w:spacing w:line="300" w:lineRule="exact"/>
        <w:rPr>
          <w:rFonts w:ascii="宋体" w:hAnsi="宋体"/>
          <w:color w:val="000000"/>
          <w:szCs w:val="21"/>
        </w:rPr>
      </w:pPr>
      <w:r>
        <w:rPr>
          <w:rFonts w:hint="eastAsia" w:ascii="宋体" w:hAnsi="宋体"/>
          <w:bCs/>
          <w:color w:val="000000"/>
          <w:szCs w:val="21"/>
        </w:rPr>
        <w:t>1．</w:t>
      </w:r>
      <w:r>
        <w:rPr>
          <w:rFonts w:hint="eastAsia" w:ascii="宋体" w:hAnsi="宋体"/>
          <w:color w:val="000000"/>
          <w:szCs w:val="21"/>
        </w:rPr>
        <w:t>本合同以人民币进行结算，合同价格为中标价。</w:t>
      </w:r>
    </w:p>
    <w:p>
      <w:pPr>
        <w:spacing w:line="360" w:lineRule="exact"/>
        <w:ind w:left="315" w:hanging="315" w:hangingChars="150"/>
        <w:rPr>
          <w:rFonts w:ascii="宋体" w:hAnsi="宋体"/>
          <w:szCs w:val="21"/>
        </w:rPr>
      </w:pPr>
      <w:r>
        <w:rPr>
          <w:rFonts w:ascii="宋体" w:hAnsi="宋体"/>
          <w:color w:val="000000"/>
          <w:szCs w:val="21"/>
        </w:rPr>
        <w:t>2</w:t>
      </w:r>
      <w:r>
        <w:rPr>
          <w:rFonts w:hint="eastAsia" w:ascii="宋体" w:hAnsi="宋体"/>
          <w:color w:val="000000"/>
          <w:szCs w:val="21"/>
        </w:rPr>
        <w:t>．付款：</w:t>
      </w:r>
      <w:r>
        <w:rPr>
          <w:rFonts w:hint="eastAsia" w:ascii="宋体" w:hAnsi="宋体"/>
          <w:szCs w:val="21"/>
        </w:rPr>
        <w:t>甲方在收到产品和发票后3个月内以转帐方式支付乙方全额货款，如发票未按要求填写或</w:t>
      </w:r>
      <w:r>
        <w:rPr>
          <w:rFonts w:hint="eastAsia" w:ascii="宋体" w:hAnsi="宋体"/>
          <w:color w:val="000000"/>
          <w:szCs w:val="21"/>
        </w:rPr>
        <w:t>未能及时提供</w:t>
      </w:r>
      <w:r>
        <w:rPr>
          <w:rFonts w:hint="eastAsia" w:ascii="宋体" w:hAnsi="宋体"/>
          <w:szCs w:val="21"/>
        </w:rPr>
        <w:t>的，由</w:t>
      </w:r>
      <w:r>
        <w:rPr>
          <w:rFonts w:hint="eastAsia" w:ascii="宋体" w:hAnsi="宋体"/>
          <w:bCs/>
          <w:szCs w:val="21"/>
        </w:rPr>
        <w:t>乙方</w:t>
      </w:r>
      <w:r>
        <w:rPr>
          <w:rFonts w:hint="eastAsia" w:ascii="宋体" w:hAnsi="宋体"/>
          <w:szCs w:val="21"/>
        </w:rPr>
        <w:t>承担</w:t>
      </w:r>
      <w:r>
        <w:rPr>
          <w:rFonts w:hint="eastAsia" w:ascii="宋体" w:hAnsi="宋体"/>
          <w:color w:val="000000"/>
          <w:szCs w:val="21"/>
        </w:rPr>
        <w:t>，甲方将顺延推迟付款。</w:t>
      </w:r>
    </w:p>
    <w:p>
      <w:pPr>
        <w:spacing w:line="480" w:lineRule="exact"/>
        <w:rPr>
          <w:rFonts w:ascii="宋体" w:hAnsi="宋体"/>
          <w:color w:val="000000"/>
          <w:szCs w:val="21"/>
        </w:rPr>
      </w:pPr>
      <w:r>
        <w:rPr>
          <w:rFonts w:hint="eastAsia" w:ascii="宋体" w:hAnsi="宋体"/>
          <w:color w:val="000000"/>
          <w:szCs w:val="21"/>
        </w:rPr>
        <w:t>3.甲</w:t>
      </w:r>
      <w:r>
        <w:rPr>
          <w:rFonts w:ascii="宋体" w:hAnsi="宋体"/>
          <w:color w:val="000000"/>
          <w:szCs w:val="21"/>
        </w:rPr>
        <w:t>方按以下信息</w:t>
      </w:r>
      <w:r>
        <w:rPr>
          <w:rFonts w:hint="eastAsia" w:ascii="宋体" w:hAnsi="宋体"/>
          <w:color w:val="000000"/>
          <w:szCs w:val="21"/>
        </w:rPr>
        <w:t>向</w:t>
      </w:r>
      <w:r>
        <w:rPr>
          <w:rFonts w:hint="eastAsia" w:ascii="宋体" w:hAnsi="宋体"/>
          <w:szCs w:val="21"/>
        </w:rPr>
        <w:t>乙</w:t>
      </w:r>
      <w:r>
        <w:rPr>
          <w:rFonts w:hint="eastAsia" w:ascii="宋体" w:hAnsi="宋体"/>
          <w:color w:val="000000"/>
          <w:szCs w:val="21"/>
        </w:rPr>
        <w:t>方支付合同款：</w:t>
      </w:r>
    </w:p>
    <w:tbl>
      <w:tblPr>
        <w:tblStyle w:val="7"/>
        <w:tblW w:w="0" w:type="auto"/>
        <w:tblInd w:w="-5" w:type="dxa"/>
        <w:tblLayout w:type="fixed"/>
        <w:tblCellMar>
          <w:top w:w="0" w:type="dxa"/>
          <w:left w:w="0" w:type="dxa"/>
          <w:bottom w:w="0" w:type="dxa"/>
          <w:right w:w="0" w:type="dxa"/>
        </w:tblCellMar>
      </w:tblPr>
      <w:tblGrid>
        <w:gridCol w:w="1924"/>
        <w:gridCol w:w="4004"/>
      </w:tblGrid>
      <w:tr>
        <w:tblPrEx>
          <w:tblCellMar>
            <w:top w:w="0" w:type="dxa"/>
            <w:left w:w="0" w:type="dxa"/>
            <w:bottom w:w="0" w:type="dxa"/>
            <w:right w:w="0" w:type="dxa"/>
          </w:tblCellMar>
        </w:tblPrEx>
        <w:trPr>
          <w:trHeight w:val="456" w:hRule="atLeast"/>
        </w:trPr>
        <w:tc>
          <w:tcPr>
            <w:tcW w:w="1924" w:type="dxa"/>
            <w:tcBorders>
              <w:top w:val="single" w:color="auto" w:sz="12"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帐户名称</w:t>
            </w:r>
          </w:p>
        </w:tc>
        <w:tc>
          <w:tcPr>
            <w:tcW w:w="4004" w:type="dxa"/>
            <w:tcBorders>
              <w:top w:val="single" w:color="auto" w:sz="12" w:space="0"/>
              <w:left w:val="single" w:color="auto" w:sz="8" w:space="0"/>
              <w:bottom w:val="single" w:color="auto" w:sz="8" w:space="0"/>
              <w:right w:val="single" w:color="auto" w:sz="12" w:space="0"/>
            </w:tcBorders>
            <w:vAlign w:val="center"/>
          </w:tcPr>
          <w:p>
            <w:pPr>
              <w:autoSpaceDE w:val="0"/>
              <w:autoSpaceDN w:val="0"/>
              <w:spacing w:line="480" w:lineRule="exact"/>
              <w:ind w:firstLine="210" w:firstLineChars="100"/>
              <w:rPr>
                <w:rFonts w:ascii="宋体" w:hAnsi="宋体"/>
                <w:color w:val="FF0000"/>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8" w:space="0"/>
              <w:right w:val="single" w:color="auto" w:sz="8" w:space="0"/>
            </w:tcBorders>
            <w:vAlign w:val="center"/>
          </w:tcPr>
          <w:p>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开户银行</w:t>
            </w:r>
          </w:p>
        </w:tc>
        <w:tc>
          <w:tcPr>
            <w:tcW w:w="4004" w:type="dxa"/>
            <w:tcBorders>
              <w:top w:val="single" w:color="auto" w:sz="8" w:space="0"/>
              <w:left w:val="single" w:color="auto" w:sz="8" w:space="0"/>
              <w:bottom w:val="single" w:color="auto" w:sz="8" w:space="0"/>
              <w:right w:val="single" w:color="auto" w:sz="12" w:space="0"/>
            </w:tcBorders>
            <w:vAlign w:val="center"/>
          </w:tcPr>
          <w:p>
            <w:pPr>
              <w:autoSpaceDE w:val="0"/>
              <w:autoSpaceDN w:val="0"/>
              <w:spacing w:line="480" w:lineRule="exact"/>
              <w:rPr>
                <w:rFonts w:ascii="宋体" w:hAnsi="宋体"/>
                <w:color w:val="FF0000"/>
                <w:kern w:val="0"/>
                <w:szCs w:val="21"/>
              </w:rPr>
            </w:pPr>
          </w:p>
        </w:tc>
      </w:tr>
      <w:tr>
        <w:tblPrEx>
          <w:tblCellMar>
            <w:top w:w="0" w:type="dxa"/>
            <w:left w:w="0" w:type="dxa"/>
            <w:bottom w:w="0" w:type="dxa"/>
            <w:right w:w="0" w:type="dxa"/>
          </w:tblCellMar>
        </w:tblPrEx>
        <w:trPr>
          <w:trHeight w:val="480" w:hRule="atLeast"/>
        </w:trPr>
        <w:tc>
          <w:tcPr>
            <w:tcW w:w="1924" w:type="dxa"/>
            <w:tcBorders>
              <w:top w:val="single" w:color="auto" w:sz="8" w:space="0"/>
              <w:left w:val="single" w:color="auto" w:sz="12" w:space="0"/>
              <w:bottom w:val="single" w:color="auto" w:sz="12" w:space="0"/>
              <w:right w:val="single" w:color="auto" w:sz="8" w:space="0"/>
            </w:tcBorders>
            <w:vAlign w:val="center"/>
          </w:tcPr>
          <w:p>
            <w:pPr>
              <w:autoSpaceDE w:val="0"/>
              <w:autoSpaceDN w:val="0"/>
              <w:spacing w:line="480" w:lineRule="exact"/>
              <w:jc w:val="center"/>
              <w:rPr>
                <w:rFonts w:ascii="宋体" w:hAnsi="宋体"/>
                <w:color w:val="FF0000"/>
                <w:kern w:val="0"/>
                <w:szCs w:val="21"/>
              </w:rPr>
            </w:pPr>
            <w:r>
              <w:rPr>
                <w:rFonts w:hint="eastAsia" w:ascii="宋体" w:hAnsi="宋体"/>
                <w:color w:val="FF0000"/>
                <w:kern w:val="0"/>
                <w:szCs w:val="21"/>
              </w:rPr>
              <w:t>银行帐号</w:t>
            </w:r>
          </w:p>
        </w:tc>
        <w:tc>
          <w:tcPr>
            <w:tcW w:w="4004" w:type="dxa"/>
            <w:tcBorders>
              <w:top w:val="single" w:color="auto" w:sz="8" w:space="0"/>
              <w:left w:val="single" w:color="auto" w:sz="8" w:space="0"/>
              <w:bottom w:val="single" w:color="auto" w:sz="12" w:space="0"/>
              <w:right w:val="single" w:color="auto" w:sz="12" w:space="0"/>
            </w:tcBorders>
            <w:vAlign w:val="center"/>
          </w:tcPr>
          <w:p>
            <w:pPr>
              <w:autoSpaceDE w:val="0"/>
              <w:autoSpaceDN w:val="0"/>
              <w:spacing w:line="480" w:lineRule="exact"/>
              <w:ind w:firstLine="420" w:firstLineChars="200"/>
              <w:rPr>
                <w:rFonts w:ascii="宋体" w:hAnsi="宋体"/>
                <w:color w:val="FF0000"/>
                <w:kern w:val="0"/>
                <w:szCs w:val="21"/>
              </w:rPr>
            </w:pPr>
          </w:p>
        </w:tc>
      </w:tr>
    </w:tbl>
    <w:p>
      <w:pPr>
        <w:spacing w:line="480" w:lineRule="exact"/>
        <w:ind w:left="315" w:hanging="315" w:hangingChars="150"/>
        <w:rPr>
          <w:rFonts w:ascii="宋体" w:hAnsi="宋体"/>
          <w:color w:val="000000"/>
          <w:szCs w:val="21"/>
        </w:rPr>
      </w:pPr>
      <w:r>
        <w:rPr>
          <w:rFonts w:hint="eastAsia" w:ascii="宋体" w:hAnsi="宋体"/>
          <w:color w:val="000000"/>
          <w:szCs w:val="21"/>
        </w:rPr>
        <w:t>4.乙</w:t>
      </w:r>
      <w:r>
        <w:rPr>
          <w:rFonts w:ascii="宋体" w:hAnsi="宋体"/>
          <w:color w:val="000000"/>
          <w:szCs w:val="21"/>
        </w:rPr>
        <w:t>方的帐户名称、开户银行、银行帐号以本合同提供的为准，如有变更应在合同规定的相应付款期限</w:t>
      </w:r>
      <w:r>
        <w:rPr>
          <w:rFonts w:hint="eastAsia" w:ascii="宋体" w:hAnsi="宋体"/>
          <w:color w:val="000000"/>
          <w:szCs w:val="21"/>
        </w:rPr>
        <w:t>五</w:t>
      </w:r>
      <w:r>
        <w:rPr>
          <w:rFonts w:ascii="宋体" w:hAnsi="宋体"/>
          <w:color w:val="000000"/>
          <w:szCs w:val="21"/>
        </w:rPr>
        <w:t>天前以加盖财务专用章的书面文件通知对方。</w:t>
      </w:r>
      <w:r>
        <w:rPr>
          <w:rFonts w:hint="eastAsia" w:ascii="宋体" w:hAnsi="宋体"/>
          <w:color w:val="000000"/>
          <w:szCs w:val="21"/>
        </w:rPr>
        <w:t>乙方的发票必须是税务发票，并与合同单位一致。</w:t>
      </w:r>
    </w:p>
    <w:p>
      <w:pPr>
        <w:spacing w:line="480" w:lineRule="exact"/>
        <w:rPr>
          <w:rFonts w:ascii="宋体" w:hAnsi="宋体"/>
          <w:color w:val="000000"/>
          <w:szCs w:val="21"/>
        </w:rPr>
      </w:pPr>
      <w:r>
        <w:rPr>
          <w:rFonts w:hint="eastAsia" w:ascii="宋体" w:hAnsi="宋体"/>
          <w:color w:val="000000"/>
          <w:szCs w:val="21"/>
        </w:rPr>
        <w:t>5.合同期内，乙方中标产品不得以任何理由提价。</w:t>
      </w:r>
    </w:p>
    <w:p>
      <w:pPr>
        <w:spacing w:line="360" w:lineRule="exact"/>
        <w:ind w:left="315" w:hanging="315" w:hangingChars="150"/>
        <w:rPr>
          <w:rFonts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甲方支付款项均以收到乙方提供的足额发票为前提。乙方未提供导致甲方未付款，乙方不得拒绝继续履行合同义务。</w:t>
      </w:r>
    </w:p>
    <w:p>
      <w:pPr>
        <w:snapToGrid w:val="0"/>
        <w:spacing w:line="480" w:lineRule="exact"/>
        <w:rPr>
          <w:rFonts w:ascii="宋体" w:hAnsi="宋体"/>
          <w:bCs/>
          <w:szCs w:val="21"/>
        </w:rPr>
      </w:pPr>
      <w:r>
        <w:rPr>
          <w:rFonts w:hint="eastAsia" w:ascii="宋体" w:hAnsi="宋体"/>
          <w:bCs/>
          <w:szCs w:val="21"/>
        </w:rPr>
        <w:t>三、技术标准、规格、包装</w:t>
      </w:r>
    </w:p>
    <w:p>
      <w:pPr>
        <w:snapToGrid w:val="0"/>
        <w:spacing w:line="480" w:lineRule="exact"/>
        <w:ind w:left="210" w:hanging="210" w:hangingChars="100"/>
        <w:rPr>
          <w:rFonts w:ascii="宋体" w:hAnsi="宋体"/>
          <w:bCs/>
          <w:szCs w:val="21"/>
        </w:rPr>
      </w:pPr>
      <w:r>
        <w:rPr>
          <w:rFonts w:ascii="宋体" w:hAnsi="宋体"/>
          <w:bCs/>
          <w:szCs w:val="21"/>
        </w:rPr>
        <w:t>1</w:t>
      </w:r>
      <w:r>
        <w:rPr>
          <w:rFonts w:hint="eastAsia" w:ascii="宋体" w:hAnsi="宋体"/>
          <w:bCs/>
          <w:szCs w:val="21"/>
        </w:rPr>
        <w:t>.</w:t>
      </w:r>
      <w:r>
        <w:rPr>
          <w:rFonts w:hint="eastAsia" w:ascii="宋体" w:hAnsi="宋体"/>
          <w:color w:val="000000"/>
          <w:szCs w:val="21"/>
        </w:rPr>
        <w:t xml:space="preserve"> 乙</w:t>
      </w:r>
      <w:r>
        <w:rPr>
          <w:rFonts w:ascii="宋体" w:hAnsi="宋体"/>
          <w:color w:val="000000"/>
          <w:szCs w:val="21"/>
        </w:rPr>
        <w:t>方</w:t>
      </w:r>
      <w:r>
        <w:rPr>
          <w:rFonts w:hint="eastAsia" w:ascii="宋体" w:hAnsi="宋体"/>
          <w:bCs/>
          <w:szCs w:val="21"/>
        </w:rPr>
        <w:t>所供产品的规格及技术参数应与本</w:t>
      </w:r>
      <w:r>
        <w:rPr>
          <w:rFonts w:hint="eastAsia" w:ascii="宋体" w:hAnsi="宋体"/>
          <w:szCs w:val="21"/>
        </w:rPr>
        <w:t>购销合同</w:t>
      </w:r>
      <w:r>
        <w:rPr>
          <w:rFonts w:hint="eastAsia" w:ascii="宋体" w:hAnsi="宋体"/>
          <w:bCs/>
          <w:szCs w:val="21"/>
        </w:rPr>
        <w:t>规定的标准相一致。所供产品（包括其包装）则应符合相应的国家或有关部门最新颁布的正式标准。</w:t>
      </w:r>
    </w:p>
    <w:p>
      <w:pPr>
        <w:snapToGrid w:val="0"/>
        <w:spacing w:line="480" w:lineRule="exact"/>
        <w:rPr>
          <w:rFonts w:ascii="宋体" w:hAnsi="宋体"/>
          <w:bCs/>
          <w:szCs w:val="21"/>
        </w:rPr>
      </w:pPr>
      <w:r>
        <w:rPr>
          <w:rFonts w:hint="eastAsia" w:ascii="宋体" w:hAnsi="宋体"/>
          <w:bCs/>
          <w:szCs w:val="21"/>
        </w:rPr>
        <w:t>2．计量、数量单位应使用国家通用的计量、数量单位。</w:t>
      </w:r>
    </w:p>
    <w:p>
      <w:pPr>
        <w:snapToGrid w:val="0"/>
        <w:spacing w:line="480" w:lineRule="exact"/>
        <w:ind w:left="210" w:hanging="210" w:hangingChars="100"/>
        <w:rPr>
          <w:rFonts w:ascii="宋体" w:hAnsi="宋体"/>
          <w:bCs/>
          <w:spacing w:val="-8"/>
          <w:szCs w:val="21"/>
        </w:rPr>
      </w:pPr>
      <w:r>
        <w:rPr>
          <w:rFonts w:hint="eastAsia" w:ascii="宋体" w:hAnsi="宋体"/>
          <w:bCs/>
          <w:szCs w:val="21"/>
        </w:rPr>
        <w:t>3.</w:t>
      </w:r>
      <w:r>
        <w:rPr>
          <w:rFonts w:hint="eastAsia" w:ascii="宋体" w:hAnsi="宋体"/>
          <w:color w:val="000000"/>
          <w:szCs w:val="21"/>
        </w:rPr>
        <w:t xml:space="preserve"> 乙</w:t>
      </w:r>
      <w:r>
        <w:rPr>
          <w:rFonts w:ascii="宋体" w:hAnsi="宋体"/>
          <w:color w:val="000000"/>
          <w:szCs w:val="21"/>
        </w:rPr>
        <w:t>方</w:t>
      </w:r>
      <w:r>
        <w:rPr>
          <w:rFonts w:hint="eastAsia" w:ascii="宋体" w:hAnsi="宋体"/>
          <w:bCs/>
          <w:szCs w:val="21"/>
        </w:rPr>
        <w:t>提供的全部产品均应按标准保护措施进</w:t>
      </w:r>
      <w:r>
        <w:rPr>
          <w:rFonts w:hint="eastAsia" w:ascii="宋体" w:hAnsi="宋体"/>
          <w:bCs/>
          <w:spacing w:val="-8"/>
          <w:szCs w:val="21"/>
        </w:rPr>
        <w:t>行包装，以防止产品在转运中损坏或变质，确保产品安全无损运抵指定地点。</w:t>
      </w:r>
    </w:p>
    <w:p>
      <w:pPr>
        <w:snapToGrid w:val="0"/>
        <w:spacing w:line="480" w:lineRule="exact"/>
        <w:ind w:left="194" w:hanging="194" w:hangingChars="100"/>
        <w:rPr>
          <w:rFonts w:ascii="宋体" w:hAnsi="宋体"/>
          <w:bCs/>
          <w:spacing w:val="-8"/>
          <w:szCs w:val="21"/>
        </w:rPr>
      </w:pPr>
      <w:r>
        <w:rPr>
          <w:rFonts w:hint="eastAsia" w:ascii="宋体" w:hAnsi="宋体"/>
          <w:bCs/>
          <w:spacing w:val="-8"/>
          <w:szCs w:val="21"/>
        </w:rPr>
        <w:t>4.需按照医院要求进行免费裁切</w:t>
      </w:r>
    </w:p>
    <w:p>
      <w:pPr>
        <w:pStyle w:val="11"/>
        <w:ind w:firstLine="0" w:firstLineChars="0"/>
        <w:rPr>
          <w:rFonts w:ascii="宋体" w:hAnsi="宋体"/>
          <w:szCs w:val="21"/>
        </w:rPr>
      </w:pPr>
      <w:r>
        <w:rPr>
          <w:rFonts w:hint="eastAsia" w:ascii="宋体" w:hAnsi="宋体"/>
          <w:bCs/>
          <w:szCs w:val="21"/>
        </w:rPr>
        <w:t>四．</w:t>
      </w:r>
      <w:r>
        <w:rPr>
          <w:rFonts w:hint="eastAsia" w:ascii="宋体" w:hAnsi="宋体"/>
          <w:szCs w:val="21"/>
        </w:rPr>
        <w:t>交货时间、地点、</w:t>
      </w:r>
      <w:r>
        <w:rPr>
          <w:rFonts w:hint="eastAsia" w:ascii="宋体" w:hAnsi="宋体"/>
          <w:color w:val="000000"/>
          <w:szCs w:val="21"/>
        </w:rPr>
        <w:t>方式、</w:t>
      </w:r>
      <w:r>
        <w:rPr>
          <w:rFonts w:hint="eastAsia" w:ascii="宋体" w:hAnsi="宋体"/>
          <w:szCs w:val="21"/>
        </w:rPr>
        <w:t>验收</w:t>
      </w:r>
    </w:p>
    <w:p>
      <w:pPr>
        <w:snapToGrid w:val="0"/>
        <w:spacing w:line="480" w:lineRule="exact"/>
        <w:rPr>
          <w:rFonts w:ascii="宋体" w:hAnsi="宋体"/>
          <w:bCs/>
          <w:szCs w:val="21"/>
        </w:rPr>
      </w:pPr>
      <w:r>
        <w:rPr>
          <w:rFonts w:ascii="宋体" w:hAnsi="宋体"/>
          <w:bCs/>
          <w:szCs w:val="21"/>
        </w:rPr>
        <w:t>1</w:t>
      </w:r>
      <w:r>
        <w:rPr>
          <w:rFonts w:hint="eastAsia" w:ascii="宋体" w:hAnsi="宋体"/>
          <w:bCs/>
          <w:szCs w:val="21"/>
        </w:rPr>
        <w:t>．一般情况下收到订单3天内送货，但不超过7个工作日，如紧急供货，必须在24h内组织备货和配送，否则有权取消供货协议或合同。</w:t>
      </w:r>
    </w:p>
    <w:p>
      <w:pPr>
        <w:snapToGrid w:val="0"/>
        <w:spacing w:line="480" w:lineRule="exact"/>
        <w:ind w:left="315" w:hanging="315" w:hangingChars="150"/>
        <w:rPr>
          <w:rFonts w:ascii="宋体" w:hAnsi="宋体"/>
          <w:bCs/>
          <w:szCs w:val="21"/>
        </w:rPr>
      </w:pPr>
      <w:r>
        <w:rPr>
          <w:rFonts w:hint="eastAsia" w:ascii="宋体" w:hAnsi="宋体"/>
          <w:bCs/>
          <w:szCs w:val="21"/>
        </w:rPr>
        <w:t>2.</w:t>
      </w:r>
      <w:r>
        <w:rPr>
          <w:rFonts w:hint="eastAsia" w:ascii="宋体" w:hAnsi="宋体"/>
          <w:color w:val="000000"/>
          <w:szCs w:val="21"/>
        </w:rPr>
        <w:t xml:space="preserve"> 乙</w:t>
      </w:r>
      <w:r>
        <w:rPr>
          <w:rFonts w:hint="eastAsia" w:ascii="宋体" w:hAnsi="宋体"/>
          <w:bCs/>
          <w:szCs w:val="21"/>
        </w:rPr>
        <w:t>方负责办理运输和保险，将货物运抵甲方仓库，有关运输和保险的一切费用由</w:t>
      </w:r>
      <w:r>
        <w:rPr>
          <w:rFonts w:hint="eastAsia" w:ascii="宋体" w:hAnsi="宋体"/>
          <w:color w:val="000000"/>
          <w:szCs w:val="21"/>
        </w:rPr>
        <w:t>乙</w:t>
      </w:r>
      <w:r>
        <w:rPr>
          <w:rFonts w:hint="eastAsia" w:ascii="宋体" w:hAnsi="宋体"/>
          <w:bCs/>
          <w:szCs w:val="21"/>
        </w:rPr>
        <w:t>方承担。</w:t>
      </w:r>
    </w:p>
    <w:p>
      <w:pPr>
        <w:pStyle w:val="11"/>
        <w:ind w:left="210" w:hanging="210" w:hangingChars="100"/>
        <w:rPr>
          <w:rFonts w:ascii="宋体" w:hAnsi="宋体"/>
          <w:szCs w:val="21"/>
        </w:rPr>
      </w:pPr>
      <w:r>
        <w:rPr>
          <w:rFonts w:hint="eastAsia" w:ascii="宋体" w:hAnsi="宋体"/>
          <w:szCs w:val="21"/>
        </w:rPr>
        <w:t>3. 乙方将货物送到甲方指定地点后，由甲方指定工作人员与乙方代表共同对货物进行查点、验收，若乙方代表不到场由此产生的纠纷甲方不负任何责任。</w:t>
      </w:r>
    </w:p>
    <w:p>
      <w:pPr>
        <w:spacing w:line="300" w:lineRule="exact"/>
        <w:ind w:left="210" w:hanging="210" w:hangingChars="100"/>
        <w:rPr>
          <w:rFonts w:ascii="宋体" w:hAnsi="宋体"/>
          <w:color w:val="000000"/>
          <w:szCs w:val="21"/>
        </w:rPr>
      </w:pPr>
      <w:r>
        <w:rPr>
          <w:rFonts w:hint="eastAsia" w:ascii="宋体" w:hAnsi="宋体"/>
          <w:color w:val="000000"/>
          <w:szCs w:val="21"/>
        </w:rPr>
        <w:t xml:space="preserve">4.乙方发票和出库清单需按甲方要求格式填写，且随货送达， </w:t>
      </w:r>
      <w:r>
        <w:rPr>
          <w:rFonts w:hint="eastAsia" w:ascii="宋体" w:hAnsi="宋体"/>
          <w:szCs w:val="21"/>
        </w:rPr>
        <w:t>品种、型号、规格、质量和有效期不符合本合同规定标准的，甲方有权拒绝收货或退换货。</w:t>
      </w:r>
    </w:p>
    <w:p>
      <w:pPr>
        <w:snapToGrid w:val="0"/>
        <w:spacing w:line="480" w:lineRule="exact"/>
        <w:rPr>
          <w:rFonts w:ascii="宋体" w:hAnsi="宋体"/>
          <w:bCs/>
          <w:szCs w:val="21"/>
        </w:rPr>
      </w:pPr>
      <w:r>
        <w:rPr>
          <w:rFonts w:hint="eastAsia" w:ascii="宋体" w:hAnsi="宋体"/>
          <w:bCs/>
          <w:szCs w:val="21"/>
        </w:rPr>
        <w:t>五．伴随服务</w:t>
      </w:r>
    </w:p>
    <w:p>
      <w:pPr>
        <w:snapToGrid w:val="0"/>
        <w:spacing w:line="480" w:lineRule="exact"/>
        <w:ind w:left="315" w:hanging="315" w:hangingChars="150"/>
        <w:rPr>
          <w:rFonts w:ascii="宋体" w:hAnsi="宋体"/>
          <w:bCs/>
          <w:szCs w:val="21"/>
        </w:rPr>
      </w:pPr>
      <w:r>
        <w:rPr>
          <w:rFonts w:hint="eastAsia" w:ascii="宋体" w:hAnsi="宋体"/>
          <w:bCs/>
          <w:szCs w:val="21"/>
        </w:rPr>
        <w:t>1．</w:t>
      </w:r>
      <w:r>
        <w:rPr>
          <w:rFonts w:hint="eastAsia" w:ascii="宋体" w:hAnsi="宋体"/>
          <w:color w:val="000000"/>
          <w:szCs w:val="21"/>
        </w:rPr>
        <w:t>乙</w:t>
      </w:r>
      <w:r>
        <w:rPr>
          <w:rFonts w:hint="eastAsia" w:ascii="宋体" w:hAnsi="宋体"/>
          <w:bCs/>
          <w:szCs w:val="21"/>
        </w:rPr>
        <w:t>方应具备解决紧急问题的能力，如</w:t>
      </w:r>
      <w:r>
        <w:rPr>
          <w:rFonts w:hint="eastAsia" w:ascii="宋体" w:hAnsi="宋体"/>
          <w:color w:val="000000"/>
          <w:szCs w:val="21"/>
        </w:rPr>
        <w:t>甲</w:t>
      </w:r>
      <w:r>
        <w:rPr>
          <w:rFonts w:hint="eastAsia" w:ascii="宋体" w:hAnsi="宋体"/>
          <w:bCs/>
          <w:szCs w:val="21"/>
        </w:rPr>
        <w:t>方在使用</w:t>
      </w:r>
      <w:r>
        <w:rPr>
          <w:rFonts w:hint="eastAsia" w:ascii="宋体" w:hAnsi="宋体"/>
          <w:szCs w:val="21"/>
        </w:rPr>
        <w:t>产品</w:t>
      </w:r>
      <w:r>
        <w:rPr>
          <w:rFonts w:hint="eastAsia" w:ascii="宋体" w:hAnsi="宋体"/>
          <w:bCs/>
          <w:szCs w:val="21"/>
        </w:rPr>
        <w:t>的过程中出现问题、发生故障，</w:t>
      </w:r>
      <w:r>
        <w:rPr>
          <w:rFonts w:hint="eastAsia" w:ascii="宋体" w:hAnsi="宋体"/>
          <w:szCs w:val="21"/>
        </w:rPr>
        <w:t>乙</w:t>
      </w:r>
      <w:r>
        <w:rPr>
          <w:rFonts w:hint="eastAsia" w:ascii="宋体" w:hAnsi="宋体"/>
          <w:bCs/>
          <w:szCs w:val="21"/>
        </w:rPr>
        <w:t>方应保证4小时内到达</w:t>
      </w:r>
      <w:r>
        <w:rPr>
          <w:rFonts w:hint="eastAsia" w:ascii="宋体" w:hAnsi="宋体"/>
          <w:color w:val="000000"/>
          <w:szCs w:val="21"/>
        </w:rPr>
        <w:t>甲</w:t>
      </w:r>
      <w:r>
        <w:rPr>
          <w:rFonts w:hint="eastAsia" w:ascii="宋体" w:hAnsi="宋体"/>
          <w:bCs/>
          <w:szCs w:val="21"/>
        </w:rPr>
        <w:t>方现场解决问题。</w:t>
      </w:r>
    </w:p>
    <w:p>
      <w:pPr>
        <w:snapToGrid w:val="0"/>
        <w:spacing w:line="480" w:lineRule="exact"/>
        <w:rPr>
          <w:rFonts w:ascii="宋体" w:hAnsi="宋体"/>
          <w:bCs/>
          <w:snapToGrid w:val="0"/>
          <w:kern w:val="0"/>
          <w:szCs w:val="21"/>
        </w:rPr>
      </w:pPr>
      <w:r>
        <w:rPr>
          <w:rFonts w:hint="eastAsia" w:ascii="宋体" w:hAnsi="宋体"/>
          <w:bCs/>
          <w:szCs w:val="21"/>
        </w:rPr>
        <w:t>2.对开箱时发现的破损或其它不合格包装产品无条件及时更换。</w:t>
      </w:r>
    </w:p>
    <w:p>
      <w:pPr>
        <w:snapToGrid w:val="0"/>
        <w:spacing w:line="480" w:lineRule="exact"/>
        <w:rPr>
          <w:rFonts w:ascii="宋体" w:hAnsi="宋体"/>
          <w:szCs w:val="21"/>
        </w:rPr>
      </w:pPr>
      <w:r>
        <w:rPr>
          <w:rFonts w:hint="eastAsia" w:ascii="宋体" w:hAnsi="宋体"/>
          <w:bCs/>
          <w:szCs w:val="21"/>
        </w:rPr>
        <w:t>3.</w:t>
      </w:r>
      <w:r>
        <w:rPr>
          <w:rFonts w:hint="eastAsia" w:ascii="宋体" w:hAnsi="宋体"/>
          <w:szCs w:val="21"/>
        </w:rPr>
        <w:t>试剂接近有效期，乙方无条件包换。</w:t>
      </w:r>
    </w:p>
    <w:p>
      <w:pPr>
        <w:snapToGrid w:val="0"/>
        <w:spacing w:line="480" w:lineRule="exact"/>
        <w:rPr>
          <w:rFonts w:hint="eastAsia" w:ascii="宋体" w:hAnsi="宋体"/>
          <w:bCs/>
          <w:szCs w:val="21"/>
        </w:rPr>
      </w:pPr>
      <w:r>
        <w:rPr>
          <w:rFonts w:ascii="宋体" w:hAnsi="宋体"/>
          <w:bCs/>
          <w:szCs w:val="21"/>
        </w:rPr>
        <w:t>4.</w:t>
      </w:r>
      <w:r>
        <w:rPr>
          <w:rFonts w:hint="eastAsia" w:ascii="宋体" w:hAnsi="宋体"/>
          <w:bCs/>
          <w:szCs w:val="21"/>
        </w:rPr>
        <w:t>乙方需在合同期内持有有效的品牌授权书，否则甲方有权中止合同。</w:t>
      </w:r>
    </w:p>
    <w:p>
      <w:pPr>
        <w:snapToGrid w:val="0"/>
        <w:spacing w:line="480" w:lineRule="exact"/>
        <w:rPr>
          <w:rFonts w:ascii="宋体" w:hAnsi="宋体"/>
          <w:bCs/>
          <w:snapToGrid w:val="0"/>
          <w:kern w:val="0"/>
          <w:szCs w:val="21"/>
        </w:rPr>
      </w:pPr>
      <w:r>
        <w:rPr>
          <w:rFonts w:ascii="宋体" w:hAnsi="宋体"/>
          <w:bCs/>
          <w:snapToGrid w:val="0"/>
          <w:kern w:val="0"/>
          <w:szCs w:val="21"/>
        </w:rPr>
        <w:t>5</w:t>
      </w:r>
      <w:r>
        <w:rPr>
          <w:rFonts w:hint="eastAsia" w:ascii="宋体" w:hAnsi="宋体"/>
          <w:bCs/>
          <w:snapToGrid w:val="0"/>
          <w:kern w:val="0"/>
          <w:szCs w:val="21"/>
        </w:rPr>
        <w:t>.合同期内原则上不得更换配送商。</w:t>
      </w:r>
    </w:p>
    <w:p>
      <w:pPr>
        <w:snapToGrid w:val="0"/>
        <w:spacing w:line="480" w:lineRule="exact"/>
        <w:rPr>
          <w:rFonts w:ascii="宋体" w:hAnsi="宋体"/>
          <w:bCs/>
          <w:szCs w:val="21"/>
        </w:rPr>
      </w:pPr>
      <w:r>
        <w:rPr>
          <w:rFonts w:hint="eastAsia" w:ascii="宋体" w:hAnsi="宋体"/>
          <w:bCs/>
          <w:szCs w:val="21"/>
        </w:rPr>
        <w:t>六．质量保证</w:t>
      </w:r>
    </w:p>
    <w:p>
      <w:pPr>
        <w:snapToGrid w:val="0"/>
        <w:spacing w:line="480" w:lineRule="exact"/>
        <w:ind w:left="210" w:hanging="210" w:hangingChars="100"/>
        <w:rPr>
          <w:rFonts w:ascii="宋体" w:hAnsi="宋体"/>
          <w:bCs/>
          <w:snapToGrid w:val="0"/>
          <w:kern w:val="0"/>
          <w:szCs w:val="21"/>
        </w:rPr>
      </w:pPr>
      <w:r>
        <w:rPr>
          <w:rFonts w:hint="eastAsia" w:ascii="宋体" w:hAnsi="宋体"/>
          <w:szCs w:val="21"/>
        </w:rPr>
        <w:t>1.乙方提供产品必须是全新的，产品质量、包装必须与投标文件所描述及投标样品相一致，并且符合国家检测标准，具有产品检验合格证明。如果产品出现质量问题，乙方无条件包换与包退，并承担其全部费用，如书面警告后仍再次出现问题，将立即终止合同。</w:t>
      </w:r>
    </w:p>
    <w:p>
      <w:pPr>
        <w:snapToGrid w:val="0"/>
        <w:spacing w:line="480" w:lineRule="exact"/>
        <w:ind w:left="315" w:hanging="315" w:hangingChars="150"/>
        <w:rPr>
          <w:rFonts w:ascii="宋体" w:hAnsi="宋体"/>
          <w:szCs w:val="21"/>
        </w:rPr>
      </w:pPr>
      <w:r>
        <w:rPr>
          <w:rFonts w:hint="eastAsia" w:ascii="宋体" w:hAnsi="宋体"/>
          <w:bCs/>
          <w:snapToGrid w:val="0"/>
          <w:kern w:val="0"/>
          <w:szCs w:val="21"/>
        </w:rPr>
        <w:t>2．所供产品从交货日期计算有效期≥产品有效期*80%，急需试剂耗材从交货日期计算有效期≥产品有效期*50%</w:t>
      </w:r>
      <w:r>
        <w:rPr>
          <w:rFonts w:hint="eastAsia" w:ascii="宋体" w:hAnsi="宋体"/>
          <w:szCs w:val="21"/>
        </w:rPr>
        <w:t>。</w:t>
      </w:r>
    </w:p>
    <w:p>
      <w:pPr>
        <w:snapToGrid w:val="0"/>
        <w:spacing w:line="480" w:lineRule="exact"/>
        <w:ind w:left="315" w:hanging="315" w:hangingChars="150"/>
        <w:rPr>
          <w:rFonts w:ascii="宋体" w:hAnsi="宋体"/>
          <w:bCs/>
          <w:szCs w:val="21"/>
        </w:rPr>
      </w:pPr>
      <w:r>
        <w:rPr>
          <w:rFonts w:hint="eastAsia" w:ascii="宋体" w:hAnsi="宋体"/>
          <w:szCs w:val="21"/>
        </w:rPr>
        <w:t xml:space="preserve">3. </w:t>
      </w:r>
      <w:r>
        <w:rPr>
          <w:rFonts w:hint="eastAsia" w:ascii="宋体" w:hAnsi="宋体"/>
          <w:bCs/>
          <w:szCs w:val="21"/>
        </w:rPr>
        <w:t>急</w:t>
      </w:r>
      <w:r>
        <w:rPr>
          <w:rFonts w:hint="eastAsia" w:ascii="宋体" w:hAnsi="宋体"/>
          <w:szCs w:val="21"/>
        </w:rPr>
        <w:t>需试剂耗材本市内须</w:t>
      </w:r>
      <w:r>
        <w:rPr>
          <w:rFonts w:hint="eastAsia" w:ascii="宋体" w:hAnsi="宋体"/>
          <w:bCs/>
          <w:szCs w:val="21"/>
        </w:rPr>
        <w:t>2小时内送达，本市外须4小时内送达。</w:t>
      </w:r>
    </w:p>
    <w:p>
      <w:pPr>
        <w:spacing w:line="480" w:lineRule="exact"/>
        <w:ind w:left="315" w:hanging="315" w:hangingChars="150"/>
        <w:jc w:val="left"/>
        <w:rPr>
          <w:rFonts w:ascii="宋体" w:hAnsi="宋体"/>
          <w:szCs w:val="21"/>
        </w:rPr>
      </w:pPr>
      <w:r>
        <w:rPr>
          <w:rFonts w:hint="eastAsia" w:ascii="宋体" w:hAnsi="宋体"/>
          <w:bCs/>
          <w:szCs w:val="21"/>
        </w:rPr>
        <w:t>4．如果</w:t>
      </w:r>
      <w:r>
        <w:rPr>
          <w:rFonts w:hint="eastAsia" w:ascii="宋体" w:hAnsi="宋体"/>
          <w:szCs w:val="21"/>
        </w:rPr>
        <w:t>乙</w:t>
      </w:r>
      <w:r>
        <w:rPr>
          <w:rFonts w:hint="eastAsia" w:ascii="宋体" w:hAnsi="宋体"/>
          <w:bCs/>
          <w:szCs w:val="21"/>
        </w:rPr>
        <w:t>方提供的</w:t>
      </w:r>
      <w:r>
        <w:rPr>
          <w:rFonts w:hint="eastAsia" w:ascii="宋体" w:hAnsi="宋体"/>
          <w:szCs w:val="21"/>
        </w:rPr>
        <w:t>试剂</w:t>
      </w:r>
      <w:r>
        <w:rPr>
          <w:rFonts w:hint="eastAsia" w:ascii="宋体" w:hAnsi="宋体"/>
          <w:bCs/>
          <w:szCs w:val="21"/>
        </w:rPr>
        <w:t>耗材因质量问题在使用过程中造成的一切不良后果或医疗纠纷，责任由</w:t>
      </w:r>
      <w:r>
        <w:rPr>
          <w:rFonts w:hint="eastAsia" w:ascii="宋体" w:hAnsi="宋体"/>
          <w:szCs w:val="21"/>
        </w:rPr>
        <w:t>乙</w:t>
      </w:r>
      <w:r>
        <w:rPr>
          <w:rFonts w:hint="eastAsia" w:ascii="宋体" w:hAnsi="宋体"/>
          <w:bCs/>
          <w:szCs w:val="21"/>
        </w:rPr>
        <w:t>方</w:t>
      </w:r>
      <w:r>
        <w:rPr>
          <w:rFonts w:hint="eastAsia" w:ascii="宋体" w:hAnsi="宋体"/>
          <w:color w:val="000000"/>
          <w:szCs w:val="21"/>
        </w:rPr>
        <w:t>承担</w:t>
      </w:r>
      <w:r>
        <w:rPr>
          <w:rFonts w:hint="eastAsia" w:ascii="宋体" w:hAnsi="宋体"/>
          <w:bCs/>
          <w:szCs w:val="21"/>
        </w:rPr>
        <w:t>。甲</w:t>
      </w:r>
      <w:r>
        <w:rPr>
          <w:rFonts w:hint="eastAsia" w:ascii="宋体" w:hAnsi="宋体"/>
          <w:szCs w:val="21"/>
        </w:rPr>
        <w:t>方可协助提供相关资料，帮助乙方追偿厂家（乙方为代理情况下）</w:t>
      </w:r>
    </w:p>
    <w:p>
      <w:pPr>
        <w:snapToGrid w:val="0"/>
        <w:spacing w:line="480" w:lineRule="exact"/>
        <w:ind w:left="315" w:hanging="315" w:hangingChars="150"/>
        <w:rPr>
          <w:rFonts w:ascii="宋体" w:hAnsi="宋体"/>
          <w:bCs/>
          <w:szCs w:val="21"/>
        </w:rPr>
      </w:pPr>
      <w:r>
        <w:rPr>
          <w:rFonts w:hint="eastAsia" w:ascii="宋体" w:hAnsi="宋体"/>
          <w:szCs w:val="21"/>
        </w:rPr>
        <w:t>5. 乙方</w:t>
      </w:r>
      <w:r>
        <w:rPr>
          <w:rFonts w:hAnsi="宋体"/>
          <w:bCs/>
          <w:szCs w:val="21"/>
        </w:rPr>
        <w:t>须</w:t>
      </w:r>
      <w:r>
        <w:rPr>
          <w:rFonts w:hint="eastAsia" w:ascii="宋体" w:hAnsi="宋体"/>
          <w:szCs w:val="21"/>
        </w:rPr>
        <w:t>保证所提供的货物来源合法，并已经依照国家法律缴纳有关税款。如因乙方没有履行该保证义务，造成甲方财产及声誉上的损失，乙方须承担违约责任及赔偿</w:t>
      </w:r>
      <w:r>
        <w:rPr>
          <w:rFonts w:hint="eastAsia" w:ascii="宋体" w:hAnsi="宋体"/>
          <w:bCs/>
          <w:szCs w:val="21"/>
        </w:rPr>
        <w:t>甲</w:t>
      </w:r>
      <w:r>
        <w:rPr>
          <w:rFonts w:hint="eastAsia" w:ascii="宋体" w:hAnsi="宋体"/>
          <w:szCs w:val="21"/>
        </w:rPr>
        <w:t>方由此产生的一切损失。</w:t>
      </w:r>
    </w:p>
    <w:p>
      <w:pPr>
        <w:snapToGrid w:val="0"/>
        <w:spacing w:line="480" w:lineRule="exact"/>
        <w:rPr>
          <w:rFonts w:ascii="宋体" w:hAnsi="宋体"/>
          <w:bCs/>
          <w:szCs w:val="21"/>
        </w:rPr>
      </w:pPr>
      <w:r>
        <w:rPr>
          <w:rFonts w:hint="eastAsia" w:ascii="宋体" w:hAnsi="宋体"/>
          <w:bCs/>
          <w:szCs w:val="21"/>
        </w:rPr>
        <w:t>七．甲方履约义务</w:t>
      </w:r>
    </w:p>
    <w:p>
      <w:pPr>
        <w:pStyle w:val="3"/>
        <w:snapToGrid w:val="0"/>
        <w:spacing w:line="480" w:lineRule="exact"/>
        <w:rPr>
          <w:rFonts w:hint="default" w:hAnsi="宋体"/>
          <w:bCs/>
          <w:szCs w:val="21"/>
        </w:rPr>
      </w:pPr>
      <w:r>
        <w:rPr>
          <w:rFonts w:hint="default" w:hAnsi="宋体"/>
          <w:bCs/>
          <w:szCs w:val="21"/>
        </w:rPr>
        <w:t>1</w:t>
      </w:r>
      <w:r>
        <w:rPr>
          <w:rFonts w:hAnsi="宋体"/>
          <w:bCs/>
          <w:szCs w:val="21"/>
        </w:rPr>
        <w:t>．甲方按中标品种目录根据临床需要分期分批采购中标品种。</w:t>
      </w:r>
    </w:p>
    <w:p>
      <w:pPr>
        <w:pStyle w:val="3"/>
        <w:snapToGrid w:val="0"/>
        <w:spacing w:line="480" w:lineRule="exact"/>
        <w:rPr>
          <w:rFonts w:hint="default" w:hAnsi="宋体"/>
          <w:bCs/>
          <w:szCs w:val="21"/>
        </w:rPr>
      </w:pPr>
      <w:r>
        <w:rPr>
          <w:rFonts w:hint="default" w:hAnsi="宋体"/>
          <w:bCs/>
          <w:szCs w:val="21"/>
        </w:rPr>
        <w:t>2</w:t>
      </w:r>
      <w:r>
        <w:rPr>
          <w:rFonts w:hAnsi="宋体"/>
          <w:bCs/>
          <w:szCs w:val="21"/>
        </w:rPr>
        <w:t>．甲方须按照合同规定及时结算货款。</w:t>
      </w:r>
    </w:p>
    <w:p>
      <w:pPr>
        <w:jc w:val="left"/>
        <w:rPr>
          <w:rFonts w:ascii="宋体" w:hAnsi="宋体"/>
          <w:color w:val="000000"/>
          <w:szCs w:val="21"/>
        </w:rPr>
      </w:pPr>
      <w:r>
        <w:rPr>
          <w:rFonts w:hint="eastAsia" w:ascii="宋体" w:hAnsi="宋体"/>
          <w:color w:val="000000"/>
          <w:szCs w:val="21"/>
        </w:rPr>
        <w:t>3.</w:t>
      </w:r>
      <w:r>
        <w:rPr>
          <w:rFonts w:hint="eastAsia" w:ascii="宋体" w:hAnsi="宋体"/>
          <w:szCs w:val="21"/>
        </w:rPr>
        <w:t xml:space="preserve"> </w:t>
      </w:r>
      <w:r>
        <w:rPr>
          <w:rFonts w:hint="eastAsia" w:ascii="宋体" w:hAnsi="宋体"/>
          <w:color w:val="000000"/>
          <w:szCs w:val="21"/>
        </w:rPr>
        <w:t>合同执行期间，如乙方供货正常，甲方不得从第三方采购合同标的产品。</w:t>
      </w:r>
    </w:p>
    <w:p>
      <w:pPr>
        <w:rPr>
          <w:rFonts w:ascii="宋体" w:hAnsi="宋体"/>
          <w:szCs w:val="21"/>
        </w:rPr>
      </w:pPr>
    </w:p>
    <w:p>
      <w:pPr>
        <w:pStyle w:val="11"/>
        <w:ind w:firstLine="0" w:firstLineChars="0"/>
      </w:pPr>
      <w:r>
        <w:rPr>
          <w:rFonts w:hint="eastAsia"/>
        </w:rPr>
        <w:t>八</w:t>
      </w:r>
      <w:r>
        <w:rPr>
          <w:rFonts w:hint="eastAsia"/>
          <w:bCs/>
        </w:rPr>
        <w:t>．</w:t>
      </w:r>
      <w:r>
        <w:rPr>
          <w:rFonts w:hint="eastAsia"/>
        </w:rPr>
        <w:t>违约终止合同</w:t>
      </w:r>
    </w:p>
    <w:p>
      <w:pPr>
        <w:pStyle w:val="11"/>
        <w:ind w:left="315" w:hanging="315" w:hangingChars="150"/>
        <w:rPr>
          <w:rFonts w:ascii="宋体" w:hAnsi="宋体"/>
          <w:color w:val="000000"/>
          <w:szCs w:val="21"/>
        </w:rPr>
      </w:pPr>
      <w:r>
        <w:t>1</w:t>
      </w:r>
      <w:r>
        <w:rPr>
          <w:rFonts w:hint="eastAsia"/>
        </w:rPr>
        <w:t>．如果乙方未能在规定期限内或者甲方准许的任何延期内交付部分或全部成交产品，或者乙方未能履行合同中规定的其他义务，甲方有权终止全部或部分合同。</w:t>
      </w:r>
    </w:p>
    <w:p>
      <w:pPr>
        <w:snapToGrid w:val="0"/>
        <w:spacing w:line="480" w:lineRule="exact"/>
        <w:ind w:left="210" w:hanging="210" w:hangingChars="100"/>
        <w:rPr>
          <w:rFonts w:ascii="宋体" w:hAnsi="宋体"/>
          <w:bCs/>
          <w:szCs w:val="21"/>
        </w:rPr>
      </w:pPr>
      <w:r>
        <w:rPr>
          <w:rFonts w:hint="eastAsia" w:ascii="宋体" w:hAnsi="宋体"/>
          <w:color w:val="000000"/>
          <w:szCs w:val="21"/>
        </w:rPr>
        <w:t>2.如果甲方根据上述规定，终止了全部或部分合同，甲方有权要求乙方继续执行合同中未终止的部分。</w:t>
      </w:r>
    </w:p>
    <w:p>
      <w:pPr>
        <w:ind w:left="229" w:leftChars="9" w:hanging="210" w:hangingChars="100"/>
      </w:pPr>
      <w:r>
        <w:rPr>
          <w:rFonts w:hint="eastAsia"/>
          <w:color w:val="000000"/>
        </w:rPr>
        <w:t>3．合同执行过程中，</w:t>
      </w:r>
      <w:r>
        <w:rPr>
          <w:rFonts w:hint="eastAsia"/>
          <w:bCs/>
        </w:rPr>
        <w:t>乙方三次提供不合格产品，</w:t>
      </w:r>
      <w:r>
        <w:rPr>
          <w:rFonts w:hint="eastAsia"/>
          <w:color w:val="000000"/>
        </w:rPr>
        <w:t>出现质量问题，影响临床工作的正常进行，</w:t>
      </w:r>
      <w:r>
        <w:rPr>
          <w:rFonts w:hint="eastAsia"/>
          <w:kern w:val="0"/>
        </w:rPr>
        <w:t>经医院医用耗材管控小组，其它会议的决断，也可以作为停止合同的佐证裁决，</w:t>
      </w:r>
      <w:r>
        <w:rPr>
          <w:rFonts w:hint="eastAsia"/>
          <w:bCs/>
        </w:rPr>
        <w:t>甲方有权中止合同。</w:t>
      </w:r>
    </w:p>
    <w:p>
      <w:pPr>
        <w:pStyle w:val="11"/>
        <w:ind w:firstLine="0" w:firstLineChars="0"/>
        <w:rPr>
          <w:rFonts w:ascii="宋体" w:hAnsi="宋体"/>
          <w:color w:val="000000"/>
          <w:szCs w:val="21"/>
        </w:rPr>
      </w:pPr>
    </w:p>
    <w:p>
      <w:pPr>
        <w:pStyle w:val="11"/>
        <w:ind w:firstLine="0" w:firstLineChars="0"/>
      </w:pPr>
      <w:r>
        <w:rPr>
          <w:rFonts w:hint="eastAsia" w:ascii="宋体" w:hAnsi="宋体"/>
          <w:bCs/>
          <w:szCs w:val="21"/>
        </w:rPr>
        <w:t>九．</w:t>
      </w:r>
      <w:r>
        <w:rPr>
          <w:rFonts w:hint="eastAsia"/>
        </w:rPr>
        <w:t>合同争议的仲裁</w:t>
      </w:r>
    </w:p>
    <w:p>
      <w:pPr>
        <w:pStyle w:val="11"/>
        <w:ind w:left="420" w:hanging="420" w:hangingChars="200"/>
        <w:rPr>
          <w:rFonts w:ascii="宋体" w:hAnsi="宋体"/>
          <w:color w:val="000000"/>
          <w:szCs w:val="21"/>
        </w:rPr>
      </w:pPr>
      <w:r>
        <w:t>1</w:t>
      </w:r>
      <w:r>
        <w:rPr>
          <w:rFonts w:hint="eastAsia"/>
        </w:rPr>
        <w:t>．因产品的质量问题发生争议，由国家和市政府指定的技术单位进行质量鉴定，该结论是终局的，甲乙双方应当接受。</w:t>
      </w:r>
    </w:p>
    <w:p>
      <w:pPr>
        <w:ind w:left="315" w:hanging="315" w:hangingChars="150"/>
        <w:rPr>
          <w:rFonts w:ascii="宋体" w:hAnsi="宋体"/>
          <w:color w:val="000000"/>
          <w:szCs w:val="21"/>
        </w:rPr>
      </w:pPr>
      <w:r>
        <w:rPr>
          <w:rFonts w:hint="eastAsia" w:ascii="宋体" w:hAnsi="宋体"/>
          <w:color w:val="000000"/>
          <w:szCs w:val="21"/>
        </w:rPr>
        <w:t>2．因执行本合同所发生的或者与本合同有关的一切争执与诉讼，签约各方应友好协商解决，如各方协商后仍不能解决，由甲方所在地有管辖权的人民法院诉讼解决。因此产生的费用包括不限诉讼费、保全费、律师费、差旅费等均由败方负担。</w:t>
      </w:r>
    </w:p>
    <w:p>
      <w:pPr>
        <w:spacing w:line="480" w:lineRule="exact"/>
        <w:rPr>
          <w:rFonts w:ascii="宋体" w:hAnsi="宋体"/>
          <w:szCs w:val="21"/>
        </w:rPr>
      </w:pPr>
      <w:r>
        <w:rPr>
          <w:rFonts w:hint="eastAsia" w:ascii="宋体" w:hAnsi="宋体"/>
          <w:szCs w:val="21"/>
        </w:rPr>
        <w:t>十．合同生效</w:t>
      </w:r>
    </w:p>
    <w:p>
      <w:pPr>
        <w:spacing w:line="480" w:lineRule="exact"/>
        <w:ind w:firstLine="420" w:firstLineChars="200"/>
        <w:rPr>
          <w:rFonts w:ascii="宋体" w:hAnsi="宋体"/>
          <w:szCs w:val="21"/>
        </w:rPr>
      </w:pPr>
      <w:r>
        <w:rPr>
          <w:rFonts w:hint="eastAsia" w:ascii="宋体" w:hAnsi="宋体"/>
          <w:szCs w:val="21"/>
        </w:rPr>
        <w:t>1.本合同一式三份，甲方两份、乙方一份；</w:t>
      </w:r>
    </w:p>
    <w:p>
      <w:pPr>
        <w:spacing w:line="480" w:lineRule="exact"/>
        <w:ind w:firstLine="420" w:firstLineChars="200"/>
        <w:rPr>
          <w:rFonts w:ascii="宋体" w:hAnsi="宋体"/>
          <w:szCs w:val="21"/>
        </w:rPr>
      </w:pPr>
      <w:r>
        <w:rPr>
          <w:rFonts w:hint="eastAsia" w:ascii="宋体" w:hAnsi="宋体"/>
          <w:szCs w:val="21"/>
        </w:rPr>
        <w:t>2.本合同修改须经双方书面认可；</w:t>
      </w:r>
    </w:p>
    <w:p>
      <w:pPr>
        <w:spacing w:line="480" w:lineRule="exact"/>
        <w:ind w:left="630" w:hanging="630" w:hangingChars="300"/>
        <w:rPr>
          <w:rFonts w:ascii="宋体" w:hAnsi="宋体"/>
          <w:szCs w:val="21"/>
        </w:rPr>
      </w:pPr>
      <w:r>
        <w:rPr>
          <w:rFonts w:hint="eastAsia" w:ascii="宋体" w:hAnsi="宋体"/>
          <w:szCs w:val="21"/>
        </w:rPr>
        <w:t xml:space="preserve">    3.本合同自        年    月    日 至 </w:t>
      </w:r>
      <w:r>
        <w:rPr>
          <w:rFonts w:ascii="宋体" w:hAnsi="宋体"/>
          <w:szCs w:val="21"/>
        </w:rPr>
        <w:t xml:space="preserve"> </w:t>
      </w:r>
      <w:r>
        <w:rPr>
          <w:rFonts w:hint="eastAsia" w:ascii="宋体" w:hAnsi="宋体"/>
          <w:szCs w:val="21"/>
        </w:rPr>
        <w:t xml:space="preserve">      年    月    日止。经双方代表签字、盖章后生效。（备注：如在合同期内，甲方按政府规定有大型统一招标活动，甲方有权终止合同，乙方与所有投标单位一起参加投标。）</w:t>
      </w:r>
    </w:p>
    <w:p>
      <w:pPr>
        <w:pStyle w:val="12"/>
        <w:ind w:firstLine="0" w:firstLineChars="0"/>
        <w:rPr>
          <w:rFonts w:ascii="宋体" w:hAnsi="宋体"/>
          <w:color w:val="000000"/>
          <w:szCs w:val="21"/>
        </w:rPr>
      </w:pPr>
    </w:p>
    <w:p>
      <w:pPr>
        <w:pStyle w:val="12"/>
        <w:ind w:firstLine="0" w:firstLineChars="0"/>
        <w:rPr>
          <w:rFonts w:ascii="宋体" w:hAnsi="宋体"/>
          <w:color w:val="000000"/>
          <w:szCs w:val="21"/>
        </w:rPr>
      </w:pPr>
      <w:r>
        <w:rPr>
          <w:rFonts w:hint="eastAsia" w:ascii="宋体" w:hAnsi="宋体"/>
          <w:color w:val="000000"/>
          <w:szCs w:val="21"/>
        </w:rPr>
        <w:t>甲方：</w:t>
      </w:r>
      <w:r>
        <w:rPr>
          <w:rFonts w:ascii="宋体" w:hAnsi="宋体"/>
          <w:color w:val="000000"/>
          <w:szCs w:val="21"/>
        </w:rPr>
        <w:t xml:space="preserve"> </w:t>
      </w:r>
      <w:r>
        <w:rPr>
          <w:rFonts w:hint="eastAsia" w:ascii="宋体" w:hAnsi="宋体"/>
          <w:color w:val="000000"/>
          <w:szCs w:val="21"/>
        </w:rPr>
        <w:t xml:space="preserve">深圳市龙华区人民医院                 </w:t>
      </w:r>
      <w:r>
        <w:rPr>
          <w:rFonts w:hint="eastAsia" w:ascii="宋体" w:hAnsi="宋体"/>
          <w:color w:val="FF0000"/>
          <w:szCs w:val="21"/>
        </w:rPr>
        <w:t>乙方：</w:t>
      </w:r>
    </w:p>
    <w:p>
      <w:pPr>
        <w:pStyle w:val="12"/>
        <w:ind w:firstLine="0" w:firstLineChars="0"/>
        <w:rPr>
          <w:rFonts w:ascii="宋体" w:hAnsi="宋体"/>
          <w:color w:val="000000"/>
          <w:szCs w:val="21"/>
        </w:rPr>
      </w:pPr>
    </w:p>
    <w:p>
      <w:pPr>
        <w:pStyle w:val="12"/>
        <w:ind w:firstLine="0" w:firstLineChars="0"/>
        <w:rPr>
          <w:rFonts w:ascii="宋体" w:hAnsi="宋体"/>
          <w:color w:val="000000"/>
          <w:szCs w:val="21"/>
        </w:rPr>
      </w:pPr>
      <w:r>
        <w:rPr>
          <w:rFonts w:hint="eastAsia" w:ascii="宋体" w:hAnsi="宋体"/>
          <w:color w:val="000000"/>
          <w:szCs w:val="21"/>
        </w:rPr>
        <w:t>地址：</w:t>
      </w:r>
      <w:r>
        <w:rPr>
          <w:rFonts w:ascii="宋体" w:hAnsi="宋体"/>
          <w:color w:val="000000"/>
          <w:szCs w:val="21"/>
        </w:rPr>
        <w:t xml:space="preserve"> </w:t>
      </w:r>
      <w:r>
        <w:rPr>
          <w:rFonts w:hint="eastAsia" w:ascii="宋体" w:hAnsi="宋体"/>
          <w:color w:val="000000"/>
          <w:szCs w:val="21"/>
        </w:rPr>
        <w:t>深圳市龙华区龙华街道景龙建设路38号</w:t>
      </w:r>
      <w:r>
        <w:rPr>
          <w:rFonts w:ascii="宋体" w:hAnsi="宋体"/>
          <w:color w:val="000000"/>
          <w:szCs w:val="21"/>
        </w:rPr>
        <w:t xml:space="preserve"> </w:t>
      </w:r>
      <w:r>
        <w:rPr>
          <w:rFonts w:hint="eastAsia" w:ascii="宋体" w:hAnsi="宋体"/>
          <w:color w:val="000000"/>
          <w:szCs w:val="21"/>
        </w:rPr>
        <w:t xml:space="preserve"> </w:t>
      </w:r>
      <w:r>
        <w:rPr>
          <w:rFonts w:hint="eastAsia" w:ascii="宋体" w:hAnsi="宋体"/>
          <w:color w:val="FF0000"/>
          <w:szCs w:val="21"/>
        </w:rPr>
        <w:t>地址：</w:t>
      </w:r>
    </w:p>
    <w:p>
      <w:pPr>
        <w:pStyle w:val="12"/>
        <w:ind w:firstLine="0" w:firstLineChars="0"/>
        <w:rPr>
          <w:rFonts w:ascii="宋体" w:hAnsi="宋体"/>
          <w:color w:val="000000"/>
          <w:szCs w:val="21"/>
        </w:rPr>
      </w:pPr>
    </w:p>
    <w:p>
      <w:pPr>
        <w:pStyle w:val="12"/>
        <w:ind w:firstLine="0" w:firstLineChars="0"/>
        <w:rPr>
          <w:rFonts w:ascii="宋体" w:hAnsi="宋体"/>
          <w:color w:val="000000"/>
          <w:szCs w:val="21"/>
        </w:rPr>
      </w:pPr>
      <w:r>
        <w:rPr>
          <w:rFonts w:hint="eastAsia" w:ascii="宋体" w:hAnsi="宋体"/>
          <w:color w:val="000000"/>
          <w:szCs w:val="21"/>
        </w:rPr>
        <w:t xml:space="preserve">法人代表：                                  </w:t>
      </w:r>
      <w:r>
        <w:rPr>
          <w:rFonts w:hint="eastAsia" w:ascii="宋体" w:hAnsi="宋体"/>
          <w:color w:val="FF0000"/>
          <w:szCs w:val="21"/>
        </w:rPr>
        <w:t>法人代表：</w:t>
      </w:r>
    </w:p>
    <w:p>
      <w:pPr>
        <w:pStyle w:val="12"/>
        <w:ind w:firstLine="0" w:firstLineChars="0"/>
        <w:rPr>
          <w:rFonts w:ascii="宋体" w:hAnsi="宋体"/>
          <w:color w:val="000000"/>
          <w:szCs w:val="21"/>
        </w:rPr>
      </w:pP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p>
    <w:p>
      <w:pPr>
        <w:pStyle w:val="12"/>
        <w:ind w:firstLine="0" w:firstLineChars="0"/>
        <w:rPr>
          <w:rFonts w:ascii="宋体" w:hAnsi="宋体"/>
          <w:color w:val="000000"/>
          <w:szCs w:val="21"/>
        </w:rPr>
      </w:pPr>
      <w:r>
        <w:rPr>
          <w:rFonts w:hint="eastAsia" w:ascii="宋体" w:hAnsi="宋体"/>
          <w:color w:val="000000"/>
          <w:szCs w:val="21"/>
        </w:rPr>
        <w:t>电话：0755-27741585-8638</w:t>
      </w:r>
      <w:r>
        <w:rPr>
          <w:rFonts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FF0000"/>
          <w:szCs w:val="21"/>
        </w:rPr>
        <w:t>电话：</w:t>
      </w:r>
    </w:p>
    <w:p>
      <w:pPr>
        <w:pStyle w:val="12"/>
        <w:ind w:firstLine="0" w:firstLineChars="0"/>
        <w:rPr>
          <w:rFonts w:ascii="宋体" w:hAnsi="宋体"/>
          <w:color w:val="000000"/>
          <w:szCs w:val="21"/>
        </w:rPr>
      </w:pPr>
    </w:p>
    <w:p>
      <w:pPr>
        <w:pStyle w:val="12"/>
        <w:ind w:firstLine="0" w:firstLineChars="0"/>
        <w:rPr>
          <w:rFonts w:ascii="宋体" w:hAnsi="宋体"/>
          <w:szCs w:val="21"/>
        </w:rPr>
      </w:pPr>
      <w:r>
        <w:rPr>
          <w:rFonts w:hint="eastAsia" w:ascii="宋体" w:hAnsi="宋体"/>
          <w:color w:val="000000"/>
          <w:szCs w:val="21"/>
        </w:rPr>
        <w:t>传真：0755-27742519</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hint="eastAsia" w:ascii="宋体" w:hAnsi="宋体"/>
          <w:color w:val="FF0000"/>
          <w:szCs w:val="21"/>
        </w:rPr>
        <w:t>传真：</w:t>
      </w:r>
    </w:p>
    <w:p>
      <w:pPr>
        <w:pStyle w:val="12"/>
        <w:ind w:firstLine="0" w:firstLineChars="0"/>
        <w:rPr>
          <w:rFonts w:ascii="宋体" w:hAnsi="宋体"/>
          <w:color w:val="000000"/>
          <w:szCs w:val="21"/>
        </w:rPr>
      </w:pPr>
    </w:p>
    <w:p>
      <w:pPr>
        <w:spacing w:line="480" w:lineRule="exact"/>
        <w:ind w:left="630" w:hanging="630" w:hangingChars="300"/>
        <w:rPr>
          <w:rFonts w:ascii="宋体" w:hAnsi="宋体"/>
          <w:szCs w:val="21"/>
        </w:rPr>
      </w:pPr>
      <w:r>
        <w:rPr>
          <w:rFonts w:hint="eastAsia" w:ascii="宋体" w:hAnsi="宋体"/>
          <w:color w:val="000000"/>
          <w:szCs w:val="21"/>
        </w:rPr>
        <w:t xml:space="preserve">日期：                                    </w:t>
      </w:r>
      <w:r>
        <w:rPr>
          <w:rFonts w:ascii="宋体" w:hAnsi="宋体"/>
          <w:color w:val="000000"/>
          <w:szCs w:val="21"/>
        </w:rPr>
        <w:t xml:space="preserve"> </w:t>
      </w:r>
      <w:r>
        <w:rPr>
          <w:rFonts w:hint="eastAsia" w:ascii="宋体" w:hAnsi="宋体"/>
          <w:color w:val="000000"/>
          <w:szCs w:val="21"/>
        </w:rPr>
        <w:t xml:space="preserve"> 日期：</w:t>
      </w:r>
    </w:p>
    <w:p>
      <w:pPr>
        <w:pStyle w:val="6"/>
        <w:jc w:val="center"/>
        <w:rPr>
          <w:rFonts w:cs="Times New Roman"/>
          <w:b/>
          <w:bCs/>
          <w:color w:val="000000"/>
          <w:kern w:val="2"/>
          <w:sz w:val="32"/>
        </w:rPr>
      </w:pPr>
      <w:r>
        <w:rPr>
          <w:szCs w:val="21"/>
        </w:rPr>
        <w:br w:type="page"/>
      </w:r>
      <w:r>
        <w:rPr>
          <w:rFonts w:hint="eastAsia" w:cs="Times New Roman"/>
          <w:b/>
          <w:bCs/>
          <w:color w:val="000000"/>
          <w:kern w:val="2"/>
          <w:sz w:val="32"/>
        </w:rPr>
        <w:t>医疗卫生机构医药产品廉洁购销合同</w:t>
      </w:r>
    </w:p>
    <w:p>
      <w:pPr>
        <w:spacing w:line="360" w:lineRule="auto"/>
        <w:rPr>
          <w:sz w:val="24"/>
          <w:szCs w:val="32"/>
        </w:rPr>
      </w:pPr>
      <w:r>
        <w:rPr>
          <w:rFonts w:hint="eastAsia"/>
          <w:sz w:val="24"/>
          <w:szCs w:val="32"/>
        </w:rPr>
        <w:t>甲方：深圳市龙华区人民医院</w:t>
      </w:r>
    </w:p>
    <w:p>
      <w:pPr>
        <w:spacing w:line="360" w:lineRule="auto"/>
        <w:rPr>
          <w:sz w:val="24"/>
          <w:szCs w:val="32"/>
        </w:rPr>
      </w:pPr>
      <w:r>
        <w:rPr>
          <w:rFonts w:hint="eastAsia"/>
          <w:sz w:val="24"/>
          <w:szCs w:val="32"/>
        </w:rPr>
        <w:t>乙方：</w:t>
      </w:r>
    </w:p>
    <w:p>
      <w:pPr>
        <w:pStyle w:val="11"/>
        <w:spacing w:line="312" w:lineRule="auto"/>
        <w:ind w:left="420" w:leftChars="200" w:firstLine="105" w:firstLineChars="50"/>
      </w:pPr>
      <w:r>
        <w:rPr>
          <w:rFonts w:hint="eastAsia"/>
        </w:rPr>
        <w:t>为进一步加强医疗卫生行风建设，规范医疗卫生机构医药购销行为，有效防范商业贿赂行为，营造公平交易、诚实守信的购销环境，经甲、乙双方协商，同意签订本合同，并共同遵守：</w:t>
      </w:r>
    </w:p>
    <w:p>
      <w:pPr>
        <w:pStyle w:val="11"/>
        <w:spacing w:line="312" w:lineRule="auto"/>
        <w:ind w:left="315" w:hanging="315" w:hangingChars="150"/>
      </w:pPr>
      <w:r>
        <w:rPr>
          <w:rFonts w:hint="eastAsia"/>
        </w:rPr>
        <w:t>一、甲乙双方按照《合同法》及医药产品购销合同约定购销药品、医用设备、医用耗材等医药产品。</w:t>
      </w:r>
    </w:p>
    <w:p>
      <w:pPr>
        <w:pStyle w:val="11"/>
        <w:spacing w:line="312" w:lineRule="auto"/>
        <w:ind w:left="315" w:hanging="315" w:hangingChars="150"/>
      </w:pPr>
      <w:r>
        <w:rPr>
          <w:rFonts w:hint="eastAsia"/>
        </w:rPr>
        <w:t>二、甲方应当严格执行医药产品购销合同验收、入库制度，对采购医药产品及发票进行查验，不得违反有关规定合同外采购、违价采购或从非规定渠道采购。</w:t>
      </w:r>
    </w:p>
    <w:p>
      <w:pPr>
        <w:pStyle w:val="11"/>
        <w:spacing w:line="312" w:lineRule="auto"/>
        <w:ind w:left="315" w:hanging="315" w:hangingChars="150"/>
      </w:pPr>
      <w:r>
        <w:rPr>
          <w:rFonts w:hint="eastAsia"/>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Style w:val="11"/>
        <w:spacing w:line="312" w:lineRule="auto"/>
        <w:ind w:left="315" w:hanging="315" w:hangingChars="150"/>
      </w:pPr>
      <w:r>
        <w:rPr>
          <w:rFonts w:hint="eastAsia"/>
        </w:rPr>
        <w:t>四、严禁甲方工作人员利用任何途径和方式，为乙方统计医师个人及临床科室有关医药产品用量信息，或为乙方统计提供便利。</w:t>
      </w:r>
    </w:p>
    <w:p>
      <w:pPr>
        <w:pStyle w:val="11"/>
        <w:spacing w:line="312" w:lineRule="auto"/>
        <w:ind w:left="315" w:hanging="315" w:hangingChars="150"/>
      </w:pPr>
      <w:r>
        <w:rPr>
          <w:rFonts w:hint="eastAsia"/>
        </w:rPr>
        <w:t>五、乙方不得以回扣、宴请等方式影响甲方工作人员采购或使用医药产品的选择权，不得在学术活动中提供旅游、超标准支付食宿费用。</w:t>
      </w:r>
    </w:p>
    <w:p>
      <w:pPr>
        <w:pStyle w:val="11"/>
        <w:spacing w:line="312" w:lineRule="auto"/>
        <w:ind w:left="315" w:hanging="315" w:hangingChars="150"/>
      </w:pPr>
      <w:r>
        <w:rPr>
          <w:rFonts w:hint="eastAsia"/>
        </w:rPr>
        <w:t>六、</w:t>
      </w:r>
      <w:r>
        <w:rPr>
          <w:rFonts w:hint="eastAsia"/>
          <w:color w:val="FF0000"/>
        </w:rPr>
        <w:t>乙方指定      作为销售代表洽谈业务</w:t>
      </w:r>
      <w:r>
        <w:rPr>
          <w:rFonts w:hint="eastAsia"/>
        </w:rPr>
        <w:t>。销售代表必须在工作时间到甲方指定地点联系商谈，不得到住院部、门诊部、医技科室等推销医药产品，不得借故到甲方相关领导、部门负责人及相关工作人员家中访谈并提供任何好处费。</w:t>
      </w:r>
    </w:p>
    <w:p>
      <w:pPr>
        <w:pStyle w:val="11"/>
        <w:spacing w:line="312" w:lineRule="auto"/>
        <w:ind w:left="315" w:hanging="315" w:hangingChars="150"/>
      </w:pPr>
      <w:r>
        <w:rPr>
          <w:rFonts w:hint="eastAsia"/>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pStyle w:val="11"/>
        <w:spacing w:line="312" w:lineRule="auto"/>
        <w:ind w:left="315" w:hanging="315" w:hangingChars="150"/>
      </w:pPr>
      <w:r>
        <w:rPr>
          <w:rFonts w:hint="eastAsia"/>
        </w:rPr>
        <w:t>八、本合同作为医药产品购销合同的重要组成部分，与购销合同一并执行，具有同等的法律效力。</w:t>
      </w:r>
    </w:p>
    <w:p>
      <w:pPr>
        <w:pStyle w:val="11"/>
        <w:spacing w:line="312" w:lineRule="auto"/>
        <w:ind w:left="315" w:hanging="315" w:hangingChars="150"/>
      </w:pPr>
      <w:r>
        <w:rPr>
          <w:rFonts w:hint="eastAsia"/>
        </w:rPr>
        <w:t>九、甲方与乙方签订合同后，乙方两年内不得更换供货公司名称，否则甲方有权终止乙方供货资格。</w:t>
      </w:r>
    </w:p>
    <w:p>
      <w:pPr>
        <w:pStyle w:val="11"/>
        <w:spacing w:line="312" w:lineRule="auto"/>
        <w:ind w:left="315" w:hanging="315" w:hangingChars="150"/>
      </w:pPr>
      <w:r>
        <w:rPr>
          <w:rFonts w:hint="eastAsia"/>
        </w:rPr>
        <w:t>十、本合同一式三份，甲、乙双方各执一份，甲方纪检监察部门（基层医疗卫生机构上报上级卫生计生行政部门）执一份，并从签订之日起生效。</w:t>
      </w:r>
    </w:p>
    <w:p>
      <w:pPr>
        <w:spacing w:line="480" w:lineRule="auto"/>
        <w:rPr>
          <w:rFonts w:ascii="宋体" w:hAnsi="宋体"/>
          <w:b/>
          <w:sz w:val="24"/>
        </w:rPr>
      </w:pPr>
      <w:r>
        <w:rPr>
          <w:rFonts w:hint="eastAsia" w:ascii="宋体" w:hAnsi="宋体"/>
          <w:b/>
          <w:sz w:val="24"/>
        </w:rPr>
        <w:t xml:space="preserve">甲方：深圳市龙华区人民医院           </w:t>
      </w:r>
      <w:r>
        <w:rPr>
          <w:rFonts w:hint="eastAsia" w:ascii="宋体" w:hAnsi="宋体"/>
          <w:b/>
          <w:color w:val="FF0000"/>
          <w:sz w:val="24"/>
        </w:rPr>
        <w:t>乙方（盖章）：</w:t>
      </w:r>
    </w:p>
    <w:p>
      <w:pPr>
        <w:spacing w:line="480" w:lineRule="auto"/>
        <w:rPr>
          <w:rFonts w:ascii="宋体" w:hAnsi="宋体"/>
          <w:b/>
          <w:sz w:val="24"/>
        </w:rPr>
      </w:pPr>
      <w:r>
        <w:rPr>
          <w:rFonts w:hint="eastAsia" w:ascii="宋体" w:hAnsi="宋体"/>
          <w:b/>
          <w:sz w:val="24"/>
        </w:rPr>
        <w:t xml:space="preserve">法定代表人（负责人）：                </w:t>
      </w:r>
      <w:r>
        <w:rPr>
          <w:rFonts w:hint="eastAsia" w:ascii="宋体" w:hAnsi="宋体"/>
          <w:b/>
          <w:color w:val="FF0000"/>
          <w:sz w:val="24"/>
        </w:rPr>
        <w:t>法定代表（负责人）：</w:t>
      </w:r>
      <w:r>
        <w:rPr>
          <w:rFonts w:hint="eastAsia" w:ascii="宋体" w:hAnsi="宋体"/>
          <w:b/>
          <w:sz w:val="24"/>
        </w:rPr>
        <w:t xml:space="preserve">                  </w:t>
      </w:r>
    </w:p>
    <w:p>
      <w:pPr>
        <w:spacing w:line="480" w:lineRule="auto"/>
        <w:ind w:firstLine="711" w:firstLineChars="295"/>
        <w:rPr>
          <w:rFonts w:ascii="宋体" w:hAnsi="宋体"/>
          <w:b/>
          <w:sz w:val="24"/>
        </w:rPr>
      </w:pPr>
      <w:r>
        <w:rPr>
          <w:rFonts w:hint="eastAsia" w:ascii="宋体" w:hAnsi="宋体"/>
          <w:b/>
          <w:sz w:val="24"/>
        </w:rPr>
        <w:t>年    月    日                           年    月    日</w:t>
      </w:r>
    </w:p>
    <w:p>
      <w:pPr>
        <w:pStyle w:val="3"/>
        <w:spacing w:line="300" w:lineRule="auto"/>
        <w:ind w:right="420"/>
        <w:jc w:val="center"/>
        <w:rPr>
          <w:rFonts w:hint="default" w:hAnsi="宋体"/>
          <w:b/>
          <w:bCs/>
          <w:color w:val="000000"/>
          <w:sz w:val="32"/>
          <w:szCs w:val="24"/>
        </w:rPr>
      </w:pPr>
      <w:r>
        <w:rPr>
          <w:rFonts w:hAnsi="宋体"/>
          <w:szCs w:val="21"/>
        </w:rPr>
        <w:br w:type="page"/>
      </w:r>
      <w:r>
        <w:rPr>
          <w:rFonts w:hAnsi="宋体"/>
          <w:b/>
          <w:bCs/>
          <w:color w:val="000000"/>
          <w:sz w:val="32"/>
          <w:szCs w:val="24"/>
        </w:rPr>
        <w:t>售后服务措施及承诺书</w:t>
      </w:r>
    </w:p>
    <w:p>
      <w:pPr>
        <w:pStyle w:val="3"/>
        <w:spacing w:line="300" w:lineRule="auto"/>
        <w:ind w:right="420"/>
        <w:jc w:val="center"/>
        <w:rPr>
          <w:rFonts w:hint="default" w:hAnsi="宋体"/>
          <w:b/>
          <w:bCs/>
          <w:color w:val="000000"/>
          <w:sz w:val="32"/>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050" w:type="dxa"/>
            <w:tcBorders>
              <w:bottom w:val="single" w:color="auto" w:sz="4" w:space="0"/>
            </w:tcBorders>
            <w:vAlign w:val="center"/>
          </w:tcPr>
          <w:p>
            <w:pPr>
              <w:jc w:val="center"/>
              <w:rPr>
                <w:rFonts w:ascii="宋体" w:hAnsi="宋体"/>
                <w:color w:val="000000"/>
                <w:sz w:val="24"/>
              </w:rPr>
            </w:pPr>
            <w:r>
              <w:rPr>
                <w:rFonts w:hint="eastAsia" w:ascii="宋体" w:hAnsi="宋体"/>
                <w:color w:val="000000"/>
                <w:sz w:val="24"/>
              </w:rPr>
              <w:t>质</w:t>
            </w:r>
          </w:p>
          <w:p>
            <w:pPr>
              <w:jc w:val="center"/>
              <w:rPr>
                <w:rFonts w:ascii="宋体" w:hAnsi="宋体"/>
                <w:color w:val="000000"/>
                <w:sz w:val="24"/>
              </w:rPr>
            </w:pPr>
            <w:r>
              <w:rPr>
                <w:rFonts w:hint="eastAsia" w:ascii="宋体" w:hAnsi="宋体"/>
                <w:color w:val="000000"/>
                <w:sz w:val="24"/>
              </w:rPr>
              <w:t>量</w:t>
            </w:r>
          </w:p>
          <w:p>
            <w:pPr>
              <w:jc w:val="center"/>
              <w:rPr>
                <w:rFonts w:ascii="宋体" w:hAnsi="宋体"/>
                <w:color w:val="000000"/>
                <w:sz w:val="24"/>
              </w:rPr>
            </w:pPr>
            <w:r>
              <w:rPr>
                <w:rFonts w:hint="eastAsia" w:ascii="宋体" w:hAnsi="宋体"/>
                <w:color w:val="000000"/>
                <w:sz w:val="24"/>
              </w:rPr>
              <w:t>保</w:t>
            </w:r>
          </w:p>
          <w:p>
            <w:pPr>
              <w:jc w:val="center"/>
              <w:rPr>
                <w:rFonts w:ascii="宋体" w:hAnsi="宋体"/>
                <w:color w:val="000000"/>
                <w:sz w:val="24"/>
              </w:rPr>
            </w:pPr>
            <w:r>
              <w:rPr>
                <w:rFonts w:hint="eastAsia" w:ascii="宋体" w:hAnsi="宋体"/>
                <w:color w:val="000000"/>
                <w:sz w:val="24"/>
              </w:rPr>
              <w:t>证</w:t>
            </w:r>
          </w:p>
          <w:p>
            <w:pPr>
              <w:jc w:val="center"/>
              <w:rPr>
                <w:rFonts w:ascii="宋体" w:hAnsi="宋体"/>
                <w:color w:val="000000"/>
                <w:sz w:val="24"/>
              </w:rPr>
            </w:pPr>
            <w:r>
              <w:rPr>
                <w:rFonts w:hint="eastAsia" w:ascii="宋体" w:hAnsi="宋体"/>
                <w:color w:val="000000"/>
                <w:sz w:val="24"/>
              </w:rPr>
              <w:t>承</w:t>
            </w:r>
          </w:p>
          <w:p>
            <w:pPr>
              <w:jc w:val="center"/>
              <w:rPr>
                <w:rFonts w:ascii="宋体" w:hAnsi="宋体"/>
                <w:color w:val="000000"/>
                <w:sz w:val="24"/>
              </w:rPr>
            </w:pPr>
            <w:r>
              <w:rPr>
                <w:rFonts w:hint="eastAsia" w:ascii="宋体" w:hAnsi="宋体"/>
                <w:color w:val="000000"/>
                <w:sz w:val="24"/>
              </w:rPr>
              <w:t>诺</w:t>
            </w:r>
          </w:p>
        </w:tc>
        <w:tc>
          <w:tcPr>
            <w:tcW w:w="8085" w:type="dxa"/>
            <w:tcBorders>
              <w:bottom w:val="single" w:color="auto" w:sz="4" w:space="0"/>
            </w:tcBorders>
          </w:tcPr>
          <w:p>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承诺所供产品符合医疗器械相关规定，如注册证、登记证等生产企业和产品质量要求；</w:t>
            </w:r>
          </w:p>
          <w:p>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货源渠道正规，由厂家或正规代理商渠道来源；</w:t>
            </w:r>
          </w:p>
          <w:p>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产品质量符合CFDA或相关质监部门要求，如检验报告或合格证体现；</w:t>
            </w:r>
          </w:p>
          <w:p>
            <w:pPr>
              <w:pStyle w:val="13"/>
              <w:keepNext w:val="0"/>
              <w:numPr>
                <w:ilvl w:val="0"/>
                <w:numId w:val="1"/>
              </w:numPr>
              <w:spacing w:after="0" w:line="360" w:lineRule="auto"/>
              <w:rPr>
                <w:rFonts w:ascii="宋体" w:hAnsi="宋体"/>
                <w:color w:val="000000"/>
                <w:sz w:val="24"/>
              </w:rPr>
            </w:pPr>
            <w:r>
              <w:rPr>
                <w:rFonts w:hint="eastAsia" w:ascii="宋体" w:hAnsi="宋体"/>
                <w:color w:val="000000"/>
                <w:sz w:val="24"/>
              </w:rPr>
              <w:t>包装产品为原装、未开封破损、进口产品具有清晰中文标识；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售</w:t>
            </w:r>
          </w:p>
          <w:p>
            <w:pPr>
              <w:jc w:val="center"/>
              <w:rPr>
                <w:rFonts w:ascii="宋体" w:hAnsi="宋体"/>
                <w:sz w:val="24"/>
              </w:rPr>
            </w:pPr>
            <w:r>
              <w:rPr>
                <w:rFonts w:hint="eastAsia" w:ascii="宋体" w:hAnsi="宋体"/>
                <w:sz w:val="24"/>
              </w:rPr>
              <w:t>后</w:t>
            </w:r>
          </w:p>
          <w:p>
            <w:pPr>
              <w:jc w:val="center"/>
              <w:rPr>
                <w:rFonts w:ascii="宋体" w:hAnsi="宋体"/>
                <w:sz w:val="24"/>
              </w:rPr>
            </w:pPr>
            <w:r>
              <w:rPr>
                <w:rFonts w:hint="eastAsia" w:ascii="宋体" w:hAnsi="宋体"/>
                <w:sz w:val="24"/>
              </w:rPr>
              <w:t>服</w:t>
            </w:r>
          </w:p>
          <w:p>
            <w:pPr>
              <w:jc w:val="center"/>
              <w:rPr>
                <w:rFonts w:ascii="宋体" w:hAnsi="宋体"/>
                <w:sz w:val="24"/>
              </w:rPr>
            </w:pPr>
            <w:r>
              <w:rPr>
                <w:rFonts w:hint="eastAsia" w:ascii="宋体" w:hAnsi="宋体"/>
                <w:sz w:val="24"/>
              </w:rPr>
              <w:t>务</w:t>
            </w:r>
          </w:p>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诺</w:t>
            </w:r>
          </w:p>
        </w:tc>
        <w:tc>
          <w:tcPr>
            <w:tcW w:w="8085" w:type="dxa"/>
            <w:tcBorders>
              <w:bottom w:val="single" w:color="auto" w:sz="4" w:space="0"/>
            </w:tcBorders>
          </w:tcPr>
          <w:p>
            <w:pPr>
              <w:pStyle w:val="13"/>
              <w:keepNext w:val="0"/>
              <w:numPr>
                <w:ilvl w:val="0"/>
                <w:numId w:val="2"/>
              </w:numPr>
              <w:spacing w:after="0" w:line="360" w:lineRule="auto"/>
              <w:rPr>
                <w:rFonts w:ascii="宋体" w:hAnsi="宋体"/>
                <w:sz w:val="24"/>
              </w:rPr>
            </w:pPr>
            <w:r>
              <w:rPr>
                <w:rFonts w:hint="eastAsia" w:ascii="宋体" w:hAnsi="宋体"/>
                <w:sz w:val="24"/>
              </w:rPr>
              <w:t>对未开封使用的耗材无条件退货；</w:t>
            </w:r>
          </w:p>
          <w:p>
            <w:pPr>
              <w:pStyle w:val="13"/>
              <w:keepNext w:val="0"/>
              <w:numPr>
                <w:ilvl w:val="0"/>
                <w:numId w:val="2"/>
              </w:numPr>
              <w:spacing w:after="0" w:line="360" w:lineRule="auto"/>
              <w:rPr>
                <w:rFonts w:ascii="宋体" w:hAnsi="宋体"/>
                <w:sz w:val="24"/>
              </w:rPr>
            </w:pPr>
            <w:r>
              <w:rPr>
                <w:rFonts w:hint="eastAsia" w:ascii="宋体" w:hAnsi="宋体"/>
                <w:sz w:val="24"/>
              </w:rPr>
              <w:t>严格按照院方要求打印送货单、发票等格式要求；</w:t>
            </w:r>
          </w:p>
          <w:p>
            <w:pPr>
              <w:pStyle w:val="13"/>
              <w:keepNext w:val="0"/>
              <w:numPr>
                <w:ilvl w:val="0"/>
                <w:numId w:val="2"/>
              </w:numPr>
              <w:spacing w:after="0" w:line="360" w:lineRule="auto"/>
              <w:rPr>
                <w:rFonts w:ascii="宋体" w:hAnsi="宋体"/>
                <w:sz w:val="24"/>
              </w:rPr>
            </w:pPr>
            <w:r>
              <w:rPr>
                <w:rFonts w:hint="eastAsia" w:ascii="宋体" w:hAnsi="宋体"/>
                <w:sz w:val="24"/>
              </w:rPr>
              <w:t>配送时效不超过合同规定时间，违反两次可由院方自动取消合同；</w:t>
            </w:r>
          </w:p>
          <w:p>
            <w:pPr>
              <w:pStyle w:val="13"/>
              <w:keepNext w:val="0"/>
              <w:numPr>
                <w:ilvl w:val="0"/>
                <w:numId w:val="2"/>
              </w:numPr>
              <w:spacing w:after="0" w:line="360" w:lineRule="auto"/>
              <w:rPr>
                <w:rFonts w:ascii="宋体" w:hAnsi="宋体"/>
                <w:sz w:val="24"/>
              </w:rPr>
            </w:pPr>
            <w:r>
              <w:rPr>
                <w:rFonts w:hint="eastAsia" w:ascii="宋体" w:hAnsi="宋体"/>
                <w:sz w:val="24"/>
              </w:rPr>
              <w:t>其他要求按院方规定尽最大要求配合满足。</w:t>
            </w:r>
          </w:p>
          <w:p>
            <w:pPr>
              <w:pStyle w:val="13"/>
              <w:keepNext w:val="0"/>
              <w:spacing w:after="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1050" w:type="dxa"/>
            <w:tcBorders>
              <w:bottom w:val="single" w:color="auto" w:sz="4" w:space="0"/>
            </w:tcBorders>
            <w:vAlign w:val="center"/>
          </w:tcPr>
          <w:p>
            <w:pPr>
              <w:jc w:val="center"/>
              <w:rPr>
                <w:rFonts w:ascii="宋体" w:hAnsi="宋体"/>
                <w:sz w:val="24"/>
              </w:rPr>
            </w:pPr>
            <w:r>
              <w:rPr>
                <w:rFonts w:hint="eastAsia" w:ascii="宋体" w:hAnsi="宋体"/>
                <w:sz w:val="24"/>
              </w:rPr>
              <w:t>其</w:t>
            </w:r>
          </w:p>
          <w:p>
            <w:pPr>
              <w:jc w:val="center"/>
              <w:rPr>
                <w:rFonts w:ascii="宋体" w:hAnsi="宋体"/>
                <w:sz w:val="24"/>
              </w:rPr>
            </w:pPr>
            <w:r>
              <w:rPr>
                <w:rFonts w:hint="eastAsia" w:ascii="宋体" w:hAnsi="宋体"/>
                <w:sz w:val="24"/>
              </w:rPr>
              <w:t>他</w:t>
            </w:r>
          </w:p>
        </w:tc>
        <w:tc>
          <w:tcPr>
            <w:tcW w:w="8085" w:type="dxa"/>
            <w:tcBorders>
              <w:bottom w:val="single" w:color="auto" w:sz="4" w:space="0"/>
            </w:tcBorders>
          </w:tcPr>
          <w:p>
            <w:pPr>
              <w:pStyle w:val="13"/>
              <w:spacing w:line="360" w:lineRule="auto"/>
              <w:rPr>
                <w:rFonts w:ascii="宋体" w:hAnsi="宋体"/>
                <w:sz w:val="24"/>
              </w:rPr>
            </w:pPr>
          </w:p>
          <w:p>
            <w:pPr>
              <w:pStyle w:val="13"/>
              <w:keepNext w:val="0"/>
              <w:spacing w:after="0" w:line="360" w:lineRule="auto"/>
              <w:rPr>
                <w:rFonts w:ascii="宋体" w:hAnsi="宋体"/>
                <w:sz w:val="24"/>
              </w:rPr>
            </w:pPr>
            <w:r>
              <w:rPr>
                <w:rFonts w:hint="eastAsia" w:ascii="宋体" w:hAnsi="宋体"/>
                <w:sz w:val="24"/>
              </w:rPr>
              <w:t>1.配合贵院并负担完成相关仪器设备的三级保养工作。</w:t>
            </w:r>
          </w:p>
          <w:p>
            <w:pPr>
              <w:pStyle w:val="13"/>
              <w:keepNext w:val="0"/>
              <w:spacing w:after="0"/>
              <w:rPr>
                <w:rFonts w:ascii="宋体" w:hAnsi="宋体"/>
                <w:sz w:val="24"/>
              </w:rPr>
            </w:pPr>
          </w:p>
        </w:tc>
      </w:tr>
    </w:tbl>
    <w:p>
      <w:pPr>
        <w:rPr>
          <w:rFonts w:ascii="宋体" w:hAnsi="宋体"/>
          <w:b/>
          <w:color w:val="000000"/>
          <w:sz w:val="24"/>
          <w:lang w:val="zh-CN"/>
        </w:rPr>
      </w:pPr>
      <w:r>
        <w:rPr>
          <w:rFonts w:hint="eastAsia" w:ascii="宋体" w:hAnsi="宋体"/>
          <w:color w:val="000000"/>
          <w:sz w:val="24"/>
        </w:rPr>
        <w:t xml:space="preserve">   </w:t>
      </w:r>
      <w:r>
        <w:rPr>
          <w:rFonts w:hint="eastAsia" w:ascii="宋体" w:hAnsi="宋体"/>
          <w:b/>
          <w:color w:val="000000"/>
          <w:sz w:val="24"/>
          <w:lang w:val="zh-CN"/>
        </w:rPr>
        <w:t>注：1、应符合质量保证期内和质量保证期外的售后服务措施及承诺；</w:t>
      </w:r>
    </w:p>
    <w:p>
      <w:pPr>
        <w:rPr>
          <w:rFonts w:ascii="宋体" w:hAnsi="宋体" w:cs="Arial"/>
          <w:b/>
          <w:bCs/>
          <w:color w:val="000000"/>
          <w:sz w:val="24"/>
        </w:rPr>
      </w:pPr>
      <w:r>
        <w:rPr>
          <w:rFonts w:hint="eastAsia" w:ascii="宋体" w:hAnsi="宋体"/>
          <w:b/>
          <w:color w:val="000000"/>
          <w:sz w:val="24"/>
          <w:lang w:val="zh-CN"/>
        </w:rPr>
        <w:t xml:space="preserve">       2、</w:t>
      </w:r>
      <w:r>
        <w:rPr>
          <w:rFonts w:hint="eastAsia" w:ascii="宋体" w:hAnsi="宋体" w:cs="Arial"/>
          <w:b/>
          <w:bCs/>
          <w:color w:val="000000"/>
          <w:sz w:val="24"/>
        </w:rPr>
        <w:t>投标人不得擅自更改本招标文件提供的售后服务措施及承诺书格式。</w:t>
      </w:r>
    </w:p>
    <w:p>
      <w:pPr>
        <w:rPr>
          <w:rFonts w:ascii="宋体" w:hAnsi="宋体"/>
          <w:b/>
          <w:color w:val="000000"/>
          <w:sz w:val="24"/>
        </w:rPr>
      </w:pPr>
    </w:p>
    <w:p>
      <w:pPr>
        <w:spacing w:before="156" w:beforeLines="50" w:after="156" w:afterLines="50" w:line="360" w:lineRule="auto"/>
        <w:rPr>
          <w:rFonts w:ascii="宋体" w:hAnsi="宋体"/>
          <w:color w:val="000000"/>
          <w:sz w:val="24"/>
        </w:rPr>
      </w:pPr>
    </w:p>
    <w:p>
      <w:pPr>
        <w:spacing w:before="156" w:beforeLines="50" w:after="156" w:afterLines="50" w:line="360" w:lineRule="auto"/>
        <w:ind w:firstLine="4080" w:firstLineChars="1700"/>
        <w:rPr>
          <w:rFonts w:ascii="宋体" w:hAnsi="宋体"/>
          <w:color w:val="FF0000"/>
          <w:sz w:val="24"/>
        </w:rPr>
      </w:pPr>
      <w:r>
        <w:rPr>
          <w:rFonts w:hint="eastAsia" w:ascii="宋体" w:hAnsi="宋体"/>
          <w:color w:val="FF0000"/>
          <w:sz w:val="24"/>
        </w:rPr>
        <w:t>法定代表（法人公章）：</w:t>
      </w:r>
    </w:p>
    <w:p>
      <w:pPr>
        <w:pStyle w:val="3"/>
        <w:spacing w:line="300" w:lineRule="auto"/>
        <w:ind w:left="120" w:firstLine="4740" w:firstLineChars="1975"/>
        <w:rPr>
          <w:rFonts w:hint="default" w:hAnsi="宋体"/>
          <w:color w:val="000000"/>
          <w:sz w:val="24"/>
          <w:szCs w:val="24"/>
        </w:rPr>
      </w:pPr>
      <w:bookmarkStart w:id="0" w:name="_GoBack"/>
      <w:bookmarkEnd w:id="0"/>
      <w:r>
        <w:rPr>
          <w:rFonts w:hAnsi="宋体"/>
          <w:color w:val="000000"/>
          <w:sz w:val="24"/>
          <w:szCs w:val="24"/>
        </w:rPr>
        <w:t>日    期：   年   月   日</w:t>
      </w:r>
    </w:p>
    <w:p>
      <w:pPr>
        <w:rPr>
          <w:rFonts w:ascii="宋体" w:hAnsi="宋体"/>
          <w:szCs w:val="21"/>
        </w:rPr>
      </w:pPr>
    </w:p>
    <w:sectPr>
      <w:footerReference r:id="rId3" w:type="default"/>
      <w:pgSz w:w="11906" w:h="16838"/>
      <w:pgMar w:top="567"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95734"/>
    <w:multiLevelType w:val="singleLevel"/>
    <w:tmpl w:val="03C95734"/>
    <w:lvl w:ilvl="0" w:tentative="0">
      <w:start w:val="1"/>
      <w:numFmt w:val="decimal"/>
      <w:suff w:val="nothing"/>
      <w:lvlText w:val="%1、"/>
      <w:lvlJc w:val="left"/>
    </w:lvl>
  </w:abstractNum>
  <w:abstractNum w:abstractNumId="1">
    <w:nsid w:val="506CED08"/>
    <w:multiLevelType w:val="singleLevel"/>
    <w:tmpl w:val="506CED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wOTk3M2UwNDgwZGUzMWVkNDhhNWY1MTk3Y2VmOTMifQ=="/>
  </w:docVars>
  <w:rsids>
    <w:rsidRoot w:val="001D4FA2"/>
    <w:rsid w:val="00001714"/>
    <w:rsid w:val="0001796B"/>
    <w:rsid w:val="00022BF3"/>
    <w:rsid w:val="00032A77"/>
    <w:rsid w:val="00051279"/>
    <w:rsid w:val="000552BE"/>
    <w:rsid w:val="00056822"/>
    <w:rsid w:val="00065F9B"/>
    <w:rsid w:val="0007446C"/>
    <w:rsid w:val="00086D2D"/>
    <w:rsid w:val="00090ADC"/>
    <w:rsid w:val="00097226"/>
    <w:rsid w:val="000B2E9E"/>
    <w:rsid w:val="000B7260"/>
    <w:rsid w:val="000C02D9"/>
    <w:rsid w:val="000C40BA"/>
    <w:rsid w:val="000C6D5B"/>
    <w:rsid w:val="000E4067"/>
    <w:rsid w:val="000F0CF0"/>
    <w:rsid w:val="000F1BE6"/>
    <w:rsid w:val="000F3074"/>
    <w:rsid w:val="001052A4"/>
    <w:rsid w:val="00124A29"/>
    <w:rsid w:val="00127FFB"/>
    <w:rsid w:val="001430DF"/>
    <w:rsid w:val="00150F06"/>
    <w:rsid w:val="00151ECF"/>
    <w:rsid w:val="00152B4D"/>
    <w:rsid w:val="0017151A"/>
    <w:rsid w:val="00181F67"/>
    <w:rsid w:val="00190646"/>
    <w:rsid w:val="001941B0"/>
    <w:rsid w:val="00197299"/>
    <w:rsid w:val="001978D7"/>
    <w:rsid w:val="001C4607"/>
    <w:rsid w:val="001D4FA2"/>
    <w:rsid w:val="001E2034"/>
    <w:rsid w:val="001E6439"/>
    <w:rsid w:val="001F4244"/>
    <w:rsid w:val="00200736"/>
    <w:rsid w:val="00207E2C"/>
    <w:rsid w:val="002203C9"/>
    <w:rsid w:val="002331B0"/>
    <w:rsid w:val="00240388"/>
    <w:rsid w:val="00243AAD"/>
    <w:rsid w:val="00253AF5"/>
    <w:rsid w:val="002749C0"/>
    <w:rsid w:val="00274DCA"/>
    <w:rsid w:val="002A0487"/>
    <w:rsid w:val="002B7AD8"/>
    <w:rsid w:val="002D2866"/>
    <w:rsid w:val="002D463D"/>
    <w:rsid w:val="002E18DB"/>
    <w:rsid w:val="002E19DB"/>
    <w:rsid w:val="002E6AE8"/>
    <w:rsid w:val="002E7489"/>
    <w:rsid w:val="003018D0"/>
    <w:rsid w:val="0030236D"/>
    <w:rsid w:val="00310A5E"/>
    <w:rsid w:val="00312D64"/>
    <w:rsid w:val="00315D08"/>
    <w:rsid w:val="00320E01"/>
    <w:rsid w:val="003326AF"/>
    <w:rsid w:val="003362E0"/>
    <w:rsid w:val="00336484"/>
    <w:rsid w:val="00346EC0"/>
    <w:rsid w:val="00357F55"/>
    <w:rsid w:val="003735C6"/>
    <w:rsid w:val="00375795"/>
    <w:rsid w:val="00376A94"/>
    <w:rsid w:val="0037739E"/>
    <w:rsid w:val="003A1F37"/>
    <w:rsid w:val="003A27EA"/>
    <w:rsid w:val="003B316B"/>
    <w:rsid w:val="003D3C58"/>
    <w:rsid w:val="003D6590"/>
    <w:rsid w:val="003D6D57"/>
    <w:rsid w:val="003E15D1"/>
    <w:rsid w:val="003E6C69"/>
    <w:rsid w:val="003F1951"/>
    <w:rsid w:val="00403AA3"/>
    <w:rsid w:val="004061CA"/>
    <w:rsid w:val="00425DDB"/>
    <w:rsid w:val="00432CCE"/>
    <w:rsid w:val="004345A8"/>
    <w:rsid w:val="00442BA3"/>
    <w:rsid w:val="00472CD7"/>
    <w:rsid w:val="0049006F"/>
    <w:rsid w:val="00495437"/>
    <w:rsid w:val="004A6816"/>
    <w:rsid w:val="004C5008"/>
    <w:rsid w:val="004D089C"/>
    <w:rsid w:val="004D5A60"/>
    <w:rsid w:val="004E1122"/>
    <w:rsid w:val="004E3C2E"/>
    <w:rsid w:val="004E75F4"/>
    <w:rsid w:val="004F3673"/>
    <w:rsid w:val="00500996"/>
    <w:rsid w:val="00572278"/>
    <w:rsid w:val="00581B5E"/>
    <w:rsid w:val="0058572A"/>
    <w:rsid w:val="00587F79"/>
    <w:rsid w:val="005939EE"/>
    <w:rsid w:val="005B717C"/>
    <w:rsid w:val="005C64D7"/>
    <w:rsid w:val="005E13B0"/>
    <w:rsid w:val="005E13F7"/>
    <w:rsid w:val="005F3706"/>
    <w:rsid w:val="00605875"/>
    <w:rsid w:val="0061001D"/>
    <w:rsid w:val="00623186"/>
    <w:rsid w:val="006608D1"/>
    <w:rsid w:val="006662E1"/>
    <w:rsid w:val="00672B8F"/>
    <w:rsid w:val="006822FF"/>
    <w:rsid w:val="006A5189"/>
    <w:rsid w:val="006D510C"/>
    <w:rsid w:val="006E25F3"/>
    <w:rsid w:val="006F66A1"/>
    <w:rsid w:val="00703D1E"/>
    <w:rsid w:val="007146C2"/>
    <w:rsid w:val="007243C2"/>
    <w:rsid w:val="00725365"/>
    <w:rsid w:val="007263FB"/>
    <w:rsid w:val="0074310C"/>
    <w:rsid w:val="0076023E"/>
    <w:rsid w:val="0076054F"/>
    <w:rsid w:val="007740C8"/>
    <w:rsid w:val="007873FD"/>
    <w:rsid w:val="007C1544"/>
    <w:rsid w:val="007D3876"/>
    <w:rsid w:val="007F3012"/>
    <w:rsid w:val="0081032D"/>
    <w:rsid w:val="00840B4D"/>
    <w:rsid w:val="00843C31"/>
    <w:rsid w:val="0084441F"/>
    <w:rsid w:val="00844F2C"/>
    <w:rsid w:val="0087095D"/>
    <w:rsid w:val="00871C9B"/>
    <w:rsid w:val="00876BD7"/>
    <w:rsid w:val="0088402C"/>
    <w:rsid w:val="008939B8"/>
    <w:rsid w:val="008C2A6F"/>
    <w:rsid w:val="008C7B0A"/>
    <w:rsid w:val="009035C7"/>
    <w:rsid w:val="00905B34"/>
    <w:rsid w:val="00907A3E"/>
    <w:rsid w:val="00960B95"/>
    <w:rsid w:val="00961254"/>
    <w:rsid w:val="009707D5"/>
    <w:rsid w:val="00972893"/>
    <w:rsid w:val="0097719F"/>
    <w:rsid w:val="00984629"/>
    <w:rsid w:val="00985CF4"/>
    <w:rsid w:val="009C176C"/>
    <w:rsid w:val="009C70BC"/>
    <w:rsid w:val="009F085F"/>
    <w:rsid w:val="009F5251"/>
    <w:rsid w:val="00A04DE5"/>
    <w:rsid w:val="00A0587E"/>
    <w:rsid w:val="00A12115"/>
    <w:rsid w:val="00A21B96"/>
    <w:rsid w:val="00A23D20"/>
    <w:rsid w:val="00A52852"/>
    <w:rsid w:val="00A749C4"/>
    <w:rsid w:val="00A917E4"/>
    <w:rsid w:val="00AC6378"/>
    <w:rsid w:val="00AD74EF"/>
    <w:rsid w:val="00B018E1"/>
    <w:rsid w:val="00B04498"/>
    <w:rsid w:val="00B439F3"/>
    <w:rsid w:val="00B44372"/>
    <w:rsid w:val="00B96B5A"/>
    <w:rsid w:val="00B97105"/>
    <w:rsid w:val="00BA1997"/>
    <w:rsid w:val="00BA4B7A"/>
    <w:rsid w:val="00BB3D75"/>
    <w:rsid w:val="00BB5846"/>
    <w:rsid w:val="00BC36C2"/>
    <w:rsid w:val="00BD7CD8"/>
    <w:rsid w:val="00BF5347"/>
    <w:rsid w:val="00BF6FFD"/>
    <w:rsid w:val="00C119CC"/>
    <w:rsid w:val="00C15E0C"/>
    <w:rsid w:val="00C47286"/>
    <w:rsid w:val="00C64857"/>
    <w:rsid w:val="00C821EE"/>
    <w:rsid w:val="00C83EAC"/>
    <w:rsid w:val="00C84A20"/>
    <w:rsid w:val="00C86171"/>
    <w:rsid w:val="00C958B1"/>
    <w:rsid w:val="00C976D5"/>
    <w:rsid w:val="00CA3A4D"/>
    <w:rsid w:val="00CB1A60"/>
    <w:rsid w:val="00CC4964"/>
    <w:rsid w:val="00CD5CE2"/>
    <w:rsid w:val="00CE026A"/>
    <w:rsid w:val="00CE7ABA"/>
    <w:rsid w:val="00CF1284"/>
    <w:rsid w:val="00CF2A13"/>
    <w:rsid w:val="00D153E2"/>
    <w:rsid w:val="00D2759B"/>
    <w:rsid w:val="00D27D3A"/>
    <w:rsid w:val="00D66332"/>
    <w:rsid w:val="00D707BB"/>
    <w:rsid w:val="00D77464"/>
    <w:rsid w:val="00D83758"/>
    <w:rsid w:val="00DF6C55"/>
    <w:rsid w:val="00E0065A"/>
    <w:rsid w:val="00E04445"/>
    <w:rsid w:val="00E22880"/>
    <w:rsid w:val="00E26755"/>
    <w:rsid w:val="00E31E74"/>
    <w:rsid w:val="00E60C57"/>
    <w:rsid w:val="00E64D77"/>
    <w:rsid w:val="00E67DC0"/>
    <w:rsid w:val="00E750CD"/>
    <w:rsid w:val="00E91409"/>
    <w:rsid w:val="00EC2BDF"/>
    <w:rsid w:val="00EE0DF4"/>
    <w:rsid w:val="00F01E1B"/>
    <w:rsid w:val="00F06456"/>
    <w:rsid w:val="00F07A14"/>
    <w:rsid w:val="00F157E4"/>
    <w:rsid w:val="00F20A02"/>
    <w:rsid w:val="00F30EFE"/>
    <w:rsid w:val="00F37766"/>
    <w:rsid w:val="00F4313E"/>
    <w:rsid w:val="00F47368"/>
    <w:rsid w:val="00F521B0"/>
    <w:rsid w:val="00F53F0D"/>
    <w:rsid w:val="00F53F70"/>
    <w:rsid w:val="00F55E91"/>
    <w:rsid w:val="00F57861"/>
    <w:rsid w:val="00F62136"/>
    <w:rsid w:val="00F66A43"/>
    <w:rsid w:val="00F73ACC"/>
    <w:rsid w:val="00F7749A"/>
    <w:rsid w:val="00F778AF"/>
    <w:rsid w:val="00FA3B42"/>
    <w:rsid w:val="00FB6BED"/>
    <w:rsid w:val="00FC50F0"/>
    <w:rsid w:val="00FD5531"/>
    <w:rsid w:val="00FF08BC"/>
    <w:rsid w:val="04076E62"/>
    <w:rsid w:val="04601FFA"/>
    <w:rsid w:val="058458E4"/>
    <w:rsid w:val="0603605C"/>
    <w:rsid w:val="06795350"/>
    <w:rsid w:val="092D0F27"/>
    <w:rsid w:val="09646A02"/>
    <w:rsid w:val="0A9737D6"/>
    <w:rsid w:val="0AF15ABC"/>
    <w:rsid w:val="0B470389"/>
    <w:rsid w:val="0CC372E7"/>
    <w:rsid w:val="0D49663A"/>
    <w:rsid w:val="0E03012A"/>
    <w:rsid w:val="0E0F33E0"/>
    <w:rsid w:val="0E524FE4"/>
    <w:rsid w:val="0F252619"/>
    <w:rsid w:val="0F9665FA"/>
    <w:rsid w:val="102C533B"/>
    <w:rsid w:val="10BF068B"/>
    <w:rsid w:val="10DC1574"/>
    <w:rsid w:val="12C36CD0"/>
    <w:rsid w:val="13FD0939"/>
    <w:rsid w:val="146336FC"/>
    <w:rsid w:val="14D531E4"/>
    <w:rsid w:val="188D6271"/>
    <w:rsid w:val="188E5849"/>
    <w:rsid w:val="18B352B0"/>
    <w:rsid w:val="196771E1"/>
    <w:rsid w:val="19F34B37"/>
    <w:rsid w:val="1A38030B"/>
    <w:rsid w:val="1AD509EB"/>
    <w:rsid w:val="1BFE6358"/>
    <w:rsid w:val="1C1147C7"/>
    <w:rsid w:val="1C8B56BD"/>
    <w:rsid w:val="1D1B17BE"/>
    <w:rsid w:val="1D490440"/>
    <w:rsid w:val="1DD00B81"/>
    <w:rsid w:val="1DE1641B"/>
    <w:rsid w:val="1E764DB5"/>
    <w:rsid w:val="1E9064D0"/>
    <w:rsid w:val="207D631D"/>
    <w:rsid w:val="239A5F15"/>
    <w:rsid w:val="240707DB"/>
    <w:rsid w:val="249F5EA7"/>
    <w:rsid w:val="26180140"/>
    <w:rsid w:val="274022CB"/>
    <w:rsid w:val="27AE2E87"/>
    <w:rsid w:val="297A4CEF"/>
    <w:rsid w:val="2B7D026A"/>
    <w:rsid w:val="2BF12F66"/>
    <w:rsid w:val="2C0A2242"/>
    <w:rsid w:val="2CD35498"/>
    <w:rsid w:val="3157729A"/>
    <w:rsid w:val="31A316A5"/>
    <w:rsid w:val="329E7864"/>
    <w:rsid w:val="32CF1AFA"/>
    <w:rsid w:val="334212B2"/>
    <w:rsid w:val="37A40B42"/>
    <w:rsid w:val="392C27E9"/>
    <w:rsid w:val="39AD3929"/>
    <w:rsid w:val="3A045513"/>
    <w:rsid w:val="3A306308"/>
    <w:rsid w:val="3B891BED"/>
    <w:rsid w:val="3F852C53"/>
    <w:rsid w:val="44381AC1"/>
    <w:rsid w:val="45D366D9"/>
    <w:rsid w:val="492D1ACF"/>
    <w:rsid w:val="49B52386"/>
    <w:rsid w:val="4AC761B2"/>
    <w:rsid w:val="4ADF1940"/>
    <w:rsid w:val="4B6237F2"/>
    <w:rsid w:val="4FCA04B1"/>
    <w:rsid w:val="52B07B8F"/>
    <w:rsid w:val="531E2F87"/>
    <w:rsid w:val="55C718B2"/>
    <w:rsid w:val="55DA73FC"/>
    <w:rsid w:val="570F546F"/>
    <w:rsid w:val="57D74529"/>
    <w:rsid w:val="5B285654"/>
    <w:rsid w:val="5C0B3128"/>
    <w:rsid w:val="5C9A5CB0"/>
    <w:rsid w:val="5CD952DD"/>
    <w:rsid w:val="5CFC6AE0"/>
    <w:rsid w:val="5F2F3BF0"/>
    <w:rsid w:val="61751996"/>
    <w:rsid w:val="62307F7C"/>
    <w:rsid w:val="6262464E"/>
    <w:rsid w:val="629049A6"/>
    <w:rsid w:val="63762770"/>
    <w:rsid w:val="674F2C42"/>
    <w:rsid w:val="68BA3127"/>
    <w:rsid w:val="6A681DF0"/>
    <w:rsid w:val="6C2D2B57"/>
    <w:rsid w:val="6C8B0FF9"/>
    <w:rsid w:val="6DA00AD4"/>
    <w:rsid w:val="6DF80F79"/>
    <w:rsid w:val="6E0861C0"/>
    <w:rsid w:val="6E2039C3"/>
    <w:rsid w:val="6FEC7B84"/>
    <w:rsid w:val="705A19BD"/>
    <w:rsid w:val="72A73DA6"/>
    <w:rsid w:val="734B7B8C"/>
    <w:rsid w:val="73E946F9"/>
    <w:rsid w:val="750C21F2"/>
    <w:rsid w:val="75271ADB"/>
    <w:rsid w:val="790E0FE8"/>
    <w:rsid w:val="79D932DC"/>
    <w:rsid w:val="7B037DCC"/>
    <w:rsid w:val="7CED1B34"/>
    <w:rsid w:val="7D6D6041"/>
    <w:rsid w:val="7DDF614A"/>
    <w:rsid w:val="7E2B43EA"/>
    <w:rsid w:val="7E9C7095"/>
    <w:rsid w:val="7ED53863"/>
    <w:rsid w:val="D9B8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hint="eastAsia"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List Paragraph1"/>
    <w:basedOn w:val="1"/>
    <w:qFormat/>
    <w:uiPriority w:val="0"/>
    <w:pPr>
      <w:ind w:firstLine="420" w:firstLineChars="200"/>
    </w:pPr>
    <w:rPr>
      <w:rFonts w:ascii="Calibri" w:hAnsi="Calibri"/>
      <w:szCs w:val="22"/>
    </w:rPr>
  </w:style>
  <w:style w:type="paragraph" w:styleId="12">
    <w:name w:val="List Paragraph"/>
    <w:basedOn w:val="1"/>
    <w:qFormat/>
    <w:uiPriority w:val="0"/>
    <w:pPr>
      <w:ind w:firstLine="420" w:firstLineChars="200"/>
    </w:pPr>
    <w:rPr>
      <w:rFonts w:ascii="Calibri" w:hAnsi="Calibri"/>
      <w:szCs w:val="22"/>
    </w:rPr>
  </w:style>
  <w:style w:type="paragraph" w:customStyle="1" w:styleId="13">
    <w:name w:val="保留正文"/>
    <w:basedOn w:val="2"/>
    <w:qFormat/>
    <w:uiPriority w:val="0"/>
    <w:pPr>
      <w:keepNext/>
      <w:spacing w:after="16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598</Words>
  <Characters>3415</Characters>
  <Lines>28</Lines>
  <Paragraphs>8</Paragraphs>
  <TotalTime>113</TotalTime>
  <ScaleCrop>false</ScaleCrop>
  <LinksUpToDate>false</LinksUpToDate>
  <CharactersWithSpaces>4005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2020-09-02T15:03:00Z</dcterms:created>
  <dc:creator>Lenovo User</dc:creator>
  <cp:lastModifiedBy>锦宝</cp:lastModifiedBy>
  <dcterms:modified xsi:type="dcterms:W3CDTF">2023-02-20T08:30:00Z</dcterms:modified>
  <dc:title>深圳市龙华新区人民医院采购合同（检验试剂及耗材）</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B64A05ABEBA94731B8490A3DC7E77BD3</vt:lpwstr>
  </property>
</Properties>
</file>