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深圳市龙华区人民医院酸化水生成系统维修服务项目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LHYYGK202406F032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具备维护、保养AMANO（阿曼诺）酸化水生成系统设备的能力。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中标方按照院方要求安排设备维修、测试等工作。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所更换的零配件质保期不低于设计使用时间。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所换配件为原厂全新配件。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rFonts w:hint="eastAsia"/>
          <w:bCs/>
          <w:kern w:val="0"/>
          <w:sz w:val="24"/>
          <w:szCs w:val="24"/>
          <w:lang w:val="en-US" w:eastAsia="zh-CN"/>
        </w:rPr>
      </w:pPr>
      <w:r>
        <w:rPr>
          <w:rFonts w:hint="eastAsia"/>
          <w:bCs/>
          <w:kern w:val="0"/>
          <w:sz w:val="24"/>
          <w:szCs w:val="24"/>
          <w:lang w:val="en-US" w:eastAsia="zh-CN"/>
        </w:rPr>
        <w:t>设备出现故障，协助院方工程师完成故障检修工作。</w:t>
      </w:r>
    </w:p>
    <w:p>
      <w:pPr>
        <w:pStyle w:val="6"/>
        <w:numPr>
          <w:ilvl w:val="0"/>
          <w:numId w:val="1"/>
        </w:numPr>
        <w:spacing w:after="0" w:line="620" w:lineRule="exact"/>
        <w:ind w:left="845" w:leftChars="0" w:hanging="425" w:firstLine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维修响应：2小时内电话响应。 </w:t>
      </w:r>
    </w:p>
    <w:p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>
      <w:pPr>
        <w:tabs>
          <w:tab w:val="left" w:pos="4223"/>
        </w:tabs>
        <w:spacing w:line="360" w:lineRule="auto"/>
        <w:ind w:firstLine="3360" w:firstLineChars="16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>
      <w:pPr>
        <w:tabs>
          <w:tab w:val="left" w:pos="4223"/>
        </w:tabs>
        <w:spacing w:line="360" w:lineRule="auto"/>
        <w:ind w:firstLine="3360" w:firstLineChars="1600"/>
        <w:jc w:val="both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</w:rPr>
        <w:t>日      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87D8A"/>
    <w:multiLevelType w:val="singleLevel"/>
    <w:tmpl w:val="A2D87D8A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796D60FC"/>
    <w:rsid w:val="2D7B7673"/>
    <w:rsid w:val="796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2024-06-12T08:18:00Z</dcterms:created>
  <dc:creator>lenovo</dc:creator>
  <cp:lastModifiedBy>lenovo</cp:lastModifiedBy>
  <dcterms:modified xsi:type="dcterms:W3CDTF">2024-06-12T08:19:08Z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E6FDAEBB7F9049478DD5AB54E369605E_11</vt:lpwstr>
  </property>
</Properties>
</file>